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6CBB" w14:textId="77777777" w:rsidR="00984E12" w:rsidRPr="00C61E38" w:rsidRDefault="006C2844" w:rsidP="00C61E38">
      <w:pPr>
        <w:pStyle w:val="Titel"/>
        <w:spacing w:before="0" w:after="0"/>
        <w:rPr>
          <w:kern w:val="36"/>
          <w:lang w:eastAsia="de-DE"/>
        </w:rPr>
      </w:pPr>
      <w:bookmarkStart w:id="0" w:name="_Toc466920456"/>
      <w:bookmarkStart w:id="1" w:name="_Toc466977528"/>
      <w:bookmarkStart w:id="2" w:name="_Toc466988277"/>
      <w:bookmarkStart w:id="3" w:name="_Toc466990272"/>
      <w:bookmarkStart w:id="4" w:name="_Toc466990312"/>
      <w:bookmarkStart w:id="5" w:name="_Toc468910118"/>
      <w:bookmarkStart w:id="6" w:name="_Toc468910218"/>
      <w:bookmarkStart w:id="7" w:name="_Toc468910442"/>
      <w:bookmarkStart w:id="8" w:name="_Toc115194245"/>
      <w:bookmarkStart w:id="9" w:name="_Toc115194478"/>
      <w:r w:rsidRPr="00C61E38">
        <w:rPr>
          <w:kern w:val="36"/>
          <w:lang w:eastAsia="de-DE"/>
        </w:rPr>
        <w:t xml:space="preserve">Richtlinie des Kirchenkreises Schleiz über die Vergabe von Mitteln des </w:t>
      </w:r>
      <w:r w:rsidR="00F058EB" w:rsidRPr="00C61E38">
        <w:rPr>
          <w:kern w:val="36"/>
          <w:lang w:eastAsia="de-DE"/>
        </w:rPr>
        <w:t>Struktur</w:t>
      </w:r>
      <w:r w:rsidRPr="00C61E38">
        <w:rPr>
          <w:kern w:val="36"/>
          <w:lang w:eastAsia="de-DE"/>
        </w:rPr>
        <w:t>fonds</w:t>
      </w:r>
      <w:bookmarkEnd w:id="0"/>
      <w:bookmarkEnd w:id="1"/>
      <w:bookmarkEnd w:id="2"/>
      <w:bookmarkEnd w:id="3"/>
      <w:bookmarkEnd w:id="4"/>
      <w:bookmarkEnd w:id="5"/>
      <w:bookmarkEnd w:id="6"/>
      <w:bookmarkEnd w:id="7"/>
      <w:r w:rsidR="00F058EB" w:rsidRPr="00C61E38">
        <w:rPr>
          <w:kern w:val="36"/>
          <w:lang w:eastAsia="de-DE"/>
        </w:rPr>
        <w:t xml:space="preserve"> zur </w:t>
      </w:r>
      <w:r w:rsidR="00E67865" w:rsidRPr="00C61E38">
        <w:rPr>
          <w:kern w:val="36"/>
          <w:lang w:eastAsia="de-DE"/>
        </w:rPr>
        <w:t>anteiligen Finanzierung energetischer Sanierungsmaßnahmen an Pfarr- und Gemeindehäusern</w:t>
      </w:r>
      <w:bookmarkEnd w:id="8"/>
      <w:bookmarkEnd w:id="9"/>
    </w:p>
    <w:p w14:paraId="7524B432" w14:textId="67F0782E" w:rsidR="00984E12" w:rsidRPr="00C61E38" w:rsidRDefault="00C349A3" w:rsidP="00C61E38">
      <w:pPr>
        <w:pStyle w:val="Titel"/>
        <w:spacing w:before="0" w:after="0"/>
        <w:rPr>
          <w:noProof/>
        </w:rPr>
      </w:pPr>
      <w:r w:rsidRPr="00C61E38">
        <w:rPr>
          <w:lang w:eastAsia="de-DE"/>
        </w:rPr>
        <w:fldChar w:fldCharType="begin"/>
      </w:r>
      <w:r w:rsidRPr="00C61E38">
        <w:rPr>
          <w:lang w:eastAsia="de-DE"/>
        </w:rPr>
        <w:instrText xml:space="preserve"> TOC \o "1-3" \h \z \u </w:instrText>
      </w:r>
      <w:r w:rsidRPr="00C61E38">
        <w:rPr>
          <w:lang w:eastAsia="de-DE"/>
        </w:rPr>
        <w:fldChar w:fldCharType="separate"/>
      </w:r>
    </w:p>
    <w:p w14:paraId="00EE098F" w14:textId="6D489C1E" w:rsidR="000F265F" w:rsidRPr="00C61E38" w:rsidRDefault="00984E12" w:rsidP="00C61E38">
      <w:pPr>
        <w:pStyle w:val="berschrift2"/>
        <w:rPr>
          <w:color w:val="000000"/>
        </w:rPr>
      </w:pPr>
      <w:r w:rsidRPr="00C61E38">
        <w:rPr>
          <w:rStyle w:val="Hyperlink"/>
          <w:color w:val="000000"/>
          <w:u w:val="none"/>
        </w:rPr>
        <w:t>Inhalt:</w:t>
      </w:r>
    </w:p>
    <w:p w14:paraId="5B5A9D71" w14:textId="20DDFCFC" w:rsidR="00984E12" w:rsidRPr="00C61E38" w:rsidRDefault="00000000" w:rsidP="00C61E38">
      <w:pPr>
        <w:pStyle w:val="Verzeichnis2"/>
        <w:tabs>
          <w:tab w:val="right" w:leader="dot" w:pos="9062"/>
        </w:tabs>
        <w:ind w:left="0"/>
        <w:rPr>
          <w:rFonts w:ascii="Calibri" w:eastAsia="Times New Roman" w:hAnsi="Calibri"/>
          <w:noProof/>
          <w:sz w:val="22"/>
          <w:szCs w:val="22"/>
          <w:lang w:eastAsia="de-DE"/>
        </w:rPr>
      </w:pPr>
      <w:hyperlink w:anchor="_Toc115194479" w:history="1">
        <w:r w:rsidR="00984E12" w:rsidRPr="00C61E38">
          <w:rPr>
            <w:rStyle w:val="Hyperlink"/>
            <w:noProof/>
            <w:lang w:eastAsia="de-DE"/>
          </w:rPr>
          <w:t>1. Zweck der Richtlinie, Rechtsgrundlagen</w:t>
        </w:r>
        <w:r w:rsidR="00984E12" w:rsidRPr="00C61E38">
          <w:rPr>
            <w:noProof/>
            <w:webHidden/>
          </w:rPr>
          <w:tab/>
        </w:r>
        <w:r w:rsidR="00984E12" w:rsidRPr="00C61E38">
          <w:rPr>
            <w:noProof/>
            <w:webHidden/>
          </w:rPr>
          <w:fldChar w:fldCharType="begin"/>
        </w:r>
        <w:r w:rsidR="00984E12" w:rsidRPr="00C61E38">
          <w:rPr>
            <w:noProof/>
            <w:webHidden/>
          </w:rPr>
          <w:instrText xml:space="preserve"> PAGEREF _Toc115194479 \h </w:instrText>
        </w:r>
        <w:r w:rsidR="00984E12" w:rsidRPr="00C61E38">
          <w:rPr>
            <w:noProof/>
            <w:webHidden/>
          </w:rPr>
        </w:r>
        <w:r w:rsidR="00984E12" w:rsidRPr="00C61E38">
          <w:rPr>
            <w:noProof/>
            <w:webHidden/>
          </w:rPr>
          <w:fldChar w:fldCharType="separate"/>
        </w:r>
        <w:r w:rsidR="00984E12" w:rsidRPr="00C61E38">
          <w:rPr>
            <w:noProof/>
            <w:webHidden/>
          </w:rPr>
          <w:t>1</w:t>
        </w:r>
        <w:r w:rsidR="00984E12" w:rsidRPr="00C61E38">
          <w:rPr>
            <w:noProof/>
            <w:webHidden/>
          </w:rPr>
          <w:fldChar w:fldCharType="end"/>
        </w:r>
      </w:hyperlink>
    </w:p>
    <w:p w14:paraId="3E56E898" w14:textId="0B37490E" w:rsidR="00984E12" w:rsidRPr="00C61E38" w:rsidRDefault="00000000" w:rsidP="00C61E38">
      <w:pPr>
        <w:pStyle w:val="Verzeichnis2"/>
        <w:tabs>
          <w:tab w:val="right" w:leader="dot" w:pos="9062"/>
        </w:tabs>
        <w:ind w:left="0"/>
        <w:rPr>
          <w:rFonts w:ascii="Calibri" w:eastAsia="Times New Roman" w:hAnsi="Calibri"/>
          <w:noProof/>
          <w:sz w:val="22"/>
          <w:szCs w:val="22"/>
          <w:lang w:eastAsia="de-DE"/>
        </w:rPr>
      </w:pPr>
      <w:hyperlink w:anchor="_Toc115194480" w:history="1">
        <w:r w:rsidR="00984E12" w:rsidRPr="00C61E38">
          <w:rPr>
            <w:rStyle w:val="Hyperlink"/>
            <w:noProof/>
            <w:lang w:eastAsia="de-DE"/>
          </w:rPr>
          <w:t>2. Zuwendungsvoraussetzungen / Zuwendungsausschluss</w:t>
        </w:r>
        <w:r w:rsidR="00984E12" w:rsidRPr="00C61E38">
          <w:rPr>
            <w:noProof/>
            <w:webHidden/>
          </w:rPr>
          <w:tab/>
        </w:r>
        <w:r w:rsidR="00984E12" w:rsidRPr="00C61E38">
          <w:rPr>
            <w:noProof/>
            <w:webHidden/>
          </w:rPr>
          <w:fldChar w:fldCharType="begin"/>
        </w:r>
        <w:r w:rsidR="00984E12" w:rsidRPr="00C61E38">
          <w:rPr>
            <w:noProof/>
            <w:webHidden/>
          </w:rPr>
          <w:instrText xml:space="preserve"> PAGEREF _Toc115194480 \h </w:instrText>
        </w:r>
        <w:r w:rsidR="00984E12" w:rsidRPr="00C61E38">
          <w:rPr>
            <w:noProof/>
            <w:webHidden/>
          </w:rPr>
        </w:r>
        <w:r w:rsidR="00984E12" w:rsidRPr="00C61E38">
          <w:rPr>
            <w:noProof/>
            <w:webHidden/>
          </w:rPr>
          <w:fldChar w:fldCharType="separate"/>
        </w:r>
        <w:r w:rsidR="00984E12" w:rsidRPr="00C61E38">
          <w:rPr>
            <w:noProof/>
            <w:webHidden/>
          </w:rPr>
          <w:t>1</w:t>
        </w:r>
        <w:r w:rsidR="00984E12" w:rsidRPr="00C61E38">
          <w:rPr>
            <w:noProof/>
            <w:webHidden/>
          </w:rPr>
          <w:fldChar w:fldCharType="end"/>
        </w:r>
      </w:hyperlink>
    </w:p>
    <w:p w14:paraId="2725E251" w14:textId="52E957A0" w:rsidR="00984E12" w:rsidRPr="00C61E38" w:rsidRDefault="00000000" w:rsidP="00C61E38">
      <w:pPr>
        <w:pStyle w:val="Verzeichnis2"/>
        <w:tabs>
          <w:tab w:val="right" w:leader="dot" w:pos="9062"/>
        </w:tabs>
        <w:ind w:left="0"/>
        <w:rPr>
          <w:rFonts w:ascii="Calibri" w:eastAsia="Times New Roman" w:hAnsi="Calibri"/>
          <w:noProof/>
          <w:sz w:val="22"/>
          <w:szCs w:val="22"/>
          <w:lang w:eastAsia="de-DE"/>
        </w:rPr>
      </w:pPr>
      <w:hyperlink w:anchor="_Toc115194481" w:history="1">
        <w:r w:rsidR="00984E12" w:rsidRPr="00C61E38">
          <w:rPr>
            <w:rStyle w:val="Hyperlink"/>
            <w:noProof/>
            <w:lang w:eastAsia="de-DE"/>
          </w:rPr>
          <w:t>3. Zuschuss- bzw. Darlehenshöhe</w:t>
        </w:r>
        <w:r w:rsidR="00984E12" w:rsidRPr="00C61E38">
          <w:rPr>
            <w:noProof/>
            <w:webHidden/>
          </w:rPr>
          <w:tab/>
        </w:r>
        <w:r w:rsidR="00984E12" w:rsidRPr="00C61E38">
          <w:rPr>
            <w:noProof/>
            <w:webHidden/>
          </w:rPr>
          <w:fldChar w:fldCharType="begin"/>
        </w:r>
        <w:r w:rsidR="00984E12" w:rsidRPr="00C61E38">
          <w:rPr>
            <w:noProof/>
            <w:webHidden/>
          </w:rPr>
          <w:instrText xml:space="preserve"> PAGEREF _Toc115194481 \h </w:instrText>
        </w:r>
        <w:r w:rsidR="00984E12" w:rsidRPr="00C61E38">
          <w:rPr>
            <w:noProof/>
            <w:webHidden/>
          </w:rPr>
        </w:r>
        <w:r w:rsidR="00984E12" w:rsidRPr="00C61E38">
          <w:rPr>
            <w:noProof/>
            <w:webHidden/>
          </w:rPr>
          <w:fldChar w:fldCharType="separate"/>
        </w:r>
        <w:r w:rsidR="00984E12" w:rsidRPr="00C61E38">
          <w:rPr>
            <w:noProof/>
            <w:webHidden/>
          </w:rPr>
          <w:t>2</w:t>
        </w:r>
        <w:r w:rsidR="00984E12" w:rsidRPr="00C61E38">
          <w:rPr>
            <w:noProof/>
            <w:webHidden/>
          </w:rPr>
          <w:fldChar w:fldCharType="end"/>
        </w:r>
      </w:hyperlink>
    </w:p>
    <w:p w14:paraId="736801C2" w14:textId="47F08C66" w:rsidR="00984E12" w:rsidRPr="00C61E38" w:rsidRDefault="00000000" w:rsidP="00C61E38">
      <w:pPr>
        <w:pStyle w:val="Verzeichnis2"/>
        <w:tabs>
          <w:tab w:val="right" w:leader="dot" w:pos="9062"/>
        </w:tabs>
        <w:ind w:left="0"/>
        <w:rPr>
          <w:rFonts w:ascii="Calibri" w:eastAsia="Times New Roman" w:hAnsi="Calibri"/>
          <w:noProof/>
          <w:sz w:val="22"/>
          <w:szCs w:val="22"/>
          <w:lang w:eastAsia="de-DE"/>
        </w:rPr>
      </w:pPr>
      <w:hyperlink w:anchor="_Toc115194482" w:history="1">
        <w:r w:rsidR="00984E12" w:rsidRPr="00C61E38">
          <w:rPr>
            <w:rStyle w:val="Hyperlink"/>
            <w:noProof/>
            <w:lang w:eastAsia="de-DE"/>
          </w:rPr>
          <w:t>4. Antrags-, Bearbeitungs- und Bewilligungsverfahren</w:t>
        </w:r>
        <w:r w:rsidR="00984E12" w:rsidRPr="00C61E38">
          <w:rPr>
            <w:noProof/>
            <w:webHidden/>
          </w:rPr>
          <w:tab/>
        </w:r>
        <w:r w:rsidR="00984E12" w:rsidRPr="00C61E38">
          <w:rPr>
            <w:noProof/>
            <w:webHidden/>
          </w:rPr>
          <w:fldChar w:fldCharType="begin"/>
        </w:r>
        <w:r w:rsidR="00984E12" w:rsidRPr="00C61E38">
          <w:rPr>
            <w:noProof/>
            <w:webHidden/>
          </w:rPr>
          <w:instrText xml:space="preserve"> PAGEREF _Toc115194482 \h </w:instrText>
        </w:r>
        <w:r w:rsidR="00984E12" w:rsidRPr="00C61E38">
          <w:rPr>
            <w:noProof/>
            <w:webHidden/>
          </w:rPr>
        </w:r>
        <w:r w:rsidR="00984E12" w:rsidRPr="00C61E38">
          <w:rPr>
            <w:noProof/>
            <w:webHidden/>
          </w:rPr>
          <w:fldChar w:fldCharType="separate"/>
        </w:r>
        <w:r w:rsidR="00984E12" w:rsidRPr="00C61E38">
          <w:rPr>
            <w:noProof/>
            <w:webHidden/>
          </w:rPr>
          <w:t>3</w:t>
        </w:r>
        <w:r w:rsidR="00984E12" w:rsidRPr="00C61E38">
          <w:rPr>
            <w:noProof/>
            <w:webHidden/>
          </w:rPr>
          <w:fldChar w:fldCharType="end"/>
        </w:r>
      </w:hyperlink>
    </w:p>
    <w:p w14:paraId="5A874EB8" w14:textId="1B0B1668" w:rsidR="00984E12" w:rsidRPr="00C61E38" w:rsidRDefault="00000000" w:rsidP="00C61E38">
      <w:pPr>
        <w:pStyle w:val="Verzeichnis2"/>
        <w:tabs>
          <w:tab w:val="right" w:leader="dot" w:pos="9062"/>
        </w:tabs>
        <w:ind w:left="0"/>
        <w:rPr>
          <w:rFonts w:ascii="Calibri" w:eastAsia="Times New Roman" w:hAnsi="Calibri"/>
          <w:noProof/>
          <w:sz w:val="22"/>
          <w:szCs w:val="22"/>
          <w:lang w:eastAsia="de-DE"/>
        </w:rPr>
      </w:pPr>
      <w:hyperlink w:anchor="_Toc115194483" w:history="1">
        <w:r w:rsidR="00984E12" w:rsidRPr="00C61E38">
          <w:rPr>
            <w:rStyle w:val="Hyperlink"/>
            <w:noProof/>
            <w:lang w:eastAsia="de-DE"/>
          </w:rPr>
          <w:t>5. In-Kraft-Treten</w:t>
        </w:r>
        <w:r w:rsidR="00984E12" w:rsidRPr="00C61E38">
          <w:rPr>
            <w:noProof/>
            <w:webHidden/>
          </w:rPr>
          <w:tab/>
        </w:r>
        <w:r w:rsidR="00984E12" w:rsidRPr="00C61E38">
          <w:rPr>
            <w:noProof/>
            <w:webHidden/>
          </w:rPr>
          <w:fldChar w:fldCharType="begin"/>
        </w:r>
        <w:r w:rsidR="00984E12" w:rsidRPr="00C61E38">
          <w:rPr>
            <w:noProof/>
            <w:webHidden/>
          </w:rPr>
          <w:instrText xml:space="preserve"> PAGEREF _Toc115194483 \h </w:instrText>
        </w:r>
        <w:r w:rsidR="00984E12" w:rsidRPr="00C61E38">
          <w:rPr>
            <w:noProof/>
            <w:webHidden/>
          </w:rPr>
        </w:r>
        <w:r w:rsidR="00984E12" w:rsidRPr="00C61E38">
          <w:rPr>
            <w:noProof/>
            <w:webHidden/>
          </w:rPr>
          <w:fldChar w:fldCharType="separate"/>
        </w:r>
        <w:r w:rsidR="00984E12" w:rsidRPr="00C61E38">
          <w:rPr>
            <w:noProof/>
            <w:webHidden/>
          </w:rPr>
          <w:t>3</w:t>
        </w:r>
        <w:r w:rsidR="00984E12" w:rsidRPr="00C61E38">
          <w:rPr>
            <w:noProof/>
            <w:webHidden/>
          </w:rPr>
          <w:fldChar w:fldCharType="end"/>
        </w:r>
      </w:hyperlink>
    </w:p>
    <w:p w14:paraId="67130A37" w14:textId="77777777" w:rsidR="00984E12" w:rsidRPr="00C61E38" w:rsidRDefault="00C349A3" w:rsidP="00C61E38">
      <w:pPr>
        <w:pStyle w:val="berschrift2"/>
        <w:spacing w:before="0" w:after="0"/>
        <w:rPr>
          <w:lang w:eastAsia="de-DE"/>
        </w:rPr>
      </w:pPr>
      <w:r w:rsidRPr="00C61E38">
        <w:rPr>
          <w:lang w:eastAsia="de-DE"/>
        </w:rPr>
        <w:fldChar w:fldCharType="end"/>
      </w:r>
      <w:bookmarkStart w:id="10" w:name="_Toc466920457"/>
      <w:bookmarkStart w:id="11" w:name="_Toc466977530"/>
      <w:bookmarkStart w:id="12" w:name="_Toc466988279"/>
      <w:bookmarkStart w:id="13" w:name="_Toc466990274"/>
      <w:bookmarkStart w:id="14" w:name="_Toc466990314"/>
      <w:bookmarkStart w:id="15" w:name="_Toc468910120"/>
      <w:bookmarkStart w:id="16" w:name="_Toc468910220"/>
      <w:bookmarkStart w:id="17" w:name="_Toc468910443"/>
      <w:bookmarkStart w:id="18" w:name="_Toc115194479"/>
    </w:p>
    <w:p w14:paraId="669F87D7" w14:textId="0F3B0A9E" w:rsidR="00F45C32" w:rsidRPr="00C61E38" w:rsidRDefault="00F45C32" w:rsidP="00C61E38">
      <w:pPr>
        <w:pStyle w:val="berschrift2"/>
        <w:spacing w:before="0" w:after="0"/>
        <w:rPr>
          <w:lang w:eastAsia="de-DE"/>
        </w:rPr>
      </w:pPr>
      <w:r w:rsidRPr="00C61E38">
        <w:rPr>
          <w:lang w:eastAsia="de-DE"/>
        </w:rPr>
        <w:t xml:space="preserve">1. </w:t>
      </w:r>
      <w:r w:rsidR="00347E9D" w:rsidRPr="00C61E38">
        <w:rPr>
          <w:lang w:eastAsia="de-DE"/>
        </w:rPr>
        <w:t>Z</w:t>
      </w:r>
      <w:r w:rsidRPr="00C61E38">
        <w:rPr>
          <w:lang w:eastAsia="de-DE"/>
        </w:rPr>
        <w:t>weck</w:t>
      </w:r>
      <w:r w:rsidR="00347E9D" w:rsidRPr="00C61E38">
        <w:rPr>
          <w:lang w:eastAsia="de-DE"/>
        </w:rPr>
        <w:t xml:space="preserve"> der Richtlinie</w:t>
      </w:r>
      <w:r w:rsidRPr="00C61E38">
        <w:rPr>
          <w:lang w:eastAsia="de-DE"/>
        </w:rPr>
        <w:t>, Rechtsgrundlagen</w:t>
      </w:r>
      <w:bookmarkEnd w:id="10"/>
      <w:bookmarkEnd w:id="11"/>
      <w:bookmarkEnd w:id="12"/>
      <w:bookmarkEnd w:id="13"/>
      <w:bookmarkEnd w:id="14"/>
      <w:bookmarkEnd w:id="15"/>
      <w:bookmarkEnd w:id="16"/>
      <w:bookmarkEnd w:id="17"/>
      <w:bookmarkEnd w:id="18"/>
    </w:p>
    <w:p w14:paraId="0C0699FE" w14:textId="4AAC9A55" w:rsidR="007B3770" w:rsidRPr="00C61E38" w:rsidRDefault="007B3770" w:rsidP="00C61E38">
      <w:pPr>
        <w:rPr>
          <w:lang w:eastAsia="de-DE"/>
        </w:rPr>
      </w:pPr>
      <w:r w:rsidRPr="00C61E38">
        <w:rPr>
          <w:lang w:eastAsia="de-DE"/>
        </w:rPr>
        <w:t xml:space="preserve">In zahlreichen Pfarr- und Gemeindehäusern sind in den ersten Jahren nach 1990 Zentralheizungsanlagen für Erdgas oder Heizöl installiert worden, die dringend durch neue Heizungsanlagen mit Brennwerttechnik und/oder unter dem Einsatz erneuerbarer Energien ersetzt werden müssen. Darüber hinaus besteht bei diesen Gebäuden </w:t>
      </w:r>
      <w:r w:rsidR="006856A5" w:rsidRPr="00C61E38">
        <w:rPr>
          <w:lang w:eastAsia="de-DE"/>
        </w:rPr>
        <w:t xml:space="preserve">oft </w:t>
      </w:r>
      <w:r w:rsidRPr="00C61E38">
        <w:rPr>
          <w:lang w:eastAsia="de-DE"/>
        </w:rPr>
        <w:t>auch Handlungsbedarf zur weiteren energetischen Sanierung dieser Gebäude über eine Heizungserneuerung hinaus.</w:t>
      </w:r>
    </w:p>
    <w:p w14:paraId="7F057485" w14:textId="77777777" w:rsidR="007B3770" w:rsidRPr="00C61E38" w:rsidRDefault="007B3770" w:rsidP="00C61E38">
      <w:pPr>
        <w:rPr>
          <w:lang w:eastAsia="de-DE"/>
        </w:rPr>
      </w:pPr>
    </w:p>
    <w:p w14:paraId="0616F689" w14:textId="4355E18A" w:rsidR="003B2F0E" w:rsidRPr="00C61E38" w:rsidRDefault="007B3770" w:rsidP="00C61E38">
      <w:pPr>
        <w:rPr>
          <w:lang w:eastAsia="de-DE"/>
        </w:rPr>
      </w:pPr>
      <w:r w:rsidRPr="00C61E38">
        <w:rPr>
          <w:lang w:eastAsia="de-DE"/>
        </w:rPr>
        <w:t xml:space="preserve">Zur </w:t>
      </w:r>
      <w:r w:rsidR="00E2295E" w:rsidRPr="00C61E38">
        <w:rPr>
          <w:lang w:eastAsia="de-DE"/>
        </w:rPr>
        <w:t xml:space="preserve">Stärkung der Eigenmittel der Kirchengemeinden und zu ihrer </w:t>
      </w:r>
      <w:r w:rsidRPr="00C61E38">
        <w:rPr>
          <w:lang w:eastAsia="de-DE"/>
        </w:rPr>
        <w:t xml:space="preserve">Unterstützung bei der Finanzierung energetischer </w:t>
      </w:r>
      <w:r w:rsidR="003B2F0E" w:rsidRPr="00C61E38">
        <w:rPr>
          <w:lang w:eastAsia="de-DE"/>
        </w:rPr>
        <w:t xml:space="preserve">Sanierungsmaßnahmen an ihren Pfarr- und Gemeindehäusern </w:t>
      </w:r>
      <w:r w:rsidR="00D355A5" w:rsidRPr="00C61E38">
        <w:rPr>
          <w:lang w:eastAsia="de-DE"/>
        </w:rPr>
        <w:t xml:space="preserve">bildet </w:t>
      </w:r>
      <w:r w:rsidR="00E2295E" w:rsidRPr="00C61E38">
        <w:rPr>
          <w:lang w:eastAsia="de-DE"/>
        </w:rPr>
        <w:t xml:space="preserve">der </w:t>
      </w:r>
      <w:r w:rsidR="008C63FD" w:rsidRPr="00C61E38">
        <w:rPr>
          <w:lang w:eastAsia="de-DE"/>
        </w:rPr>
        <w:t xml:space="preserve">Kirchenkreis Schleiz </w:t>
      </w:r>
      <w:r w:rsidR="00C86722" w:rsidRPr="00C61E38">
        <w:rPr>
          <w:lang w:eastAsia="de-DE"/>
        </w:rPr>
        <w:t>aus Mitteln des Strukturfonds</w:t>
      </w:r>
      <w:r w:rsidR="00E2295E" w:rsidRPr="00C61E38">
        <w:rPr>
          <w:lang w:eastAsia="de-DE"/>
        </w:rPr>
        <w:t>, die dem Grunde nach den Kirchengemeinden zustehen,</w:t>
      </w:r>
      <w:r w:rsidR="00C86722" w:rsidRPr="00C61E38">
        <w:rPr>
          <w:lang w:eastAsia="de-DE"/>
        </w:rPr>
        <w:t xml:space="preserve"> einen Fonds</w:t>
      </w:r>
      <w:r w:rsidR="00E2295E" w:rsidRPr="00C61E38">
        <w:rPr>
          <w:lang w:eastAsia="de-DE"/>
        </w:rPr>
        <w:t>.</w:t>
      </w:r>
      <w:r w:rsidR="00587134" w:rsidRPr="00C61E38">
        <w:rPr>
          <w:lang w:eastAsia="de-DE"/>
        </w:rPr>
        <w:t xml:space="preserve"> </w:t>
      </w:r>
      <w:r w:rsidR="00E2295E" w:rsidRPr="00C61E38">
        <w:rPr>
          <w:lang w:eastAsia="de-DE"/>
        </w:rPr>
        <w:t>A</w:t>
      </w:r>
      <w:r w:rsidR="00587134" w:rsidRPr="00C61E38">
        <w:rPr>
          <w:lang w:eastAsia="de-DE"/>
        </w:rPr>
        <w:t xml:space="preserve">us </w:t>
      </w:r>
      <w:r w:rsidR="00E2295E" w:rsidRPr="00C61E38">
        <w:rPr>
          <w:lang w:eastAsia="de-DE"/>
        </w:rPr>
        <w:t>diesem</w:t>
      </w:r>
      <w:r w:rsidR="00587134" w:rsidRPr="00C61E38">
        <w:rPr>
          <w:lang w:eastAsia="de-DE"/>
        </w:rPr>
        <w:t xml:space="preserve"> </w:t>
      </w:r>
      <w:r w:rsidR="00E2295E" w:rsidRPr="00C61E38">
        <w:rPr>
          <w:lang w:eastAsia="de-DE"/>
        </w:rPr>
        <w:t xml:space="preserve">Fonds werden </w:t>
      </w:r>
      <w:r w:rsidR="004B05B5" w:rsidRPr="00C61E38">
        <w:rPr>
          <w:lang w:eastAsia="de-DE"/>
        </w:rPr>
        <w:t xml:space="preserve">die erforderlichen Eigenmittel </w:t>
      </w:r>
      <w:r w:rsidR="00E2295E" w:rsidRPr="00C61E38">
        <w:rPr>
          <w:lang w:eastAsia="de-DE"/>
        </w:rPr>
        <w:t>de</w:t>
      </w:r>
      <w:r w:rsidR="004B05B5" w:rsidRPr="00C61E38">
        <w:rPr>
          <w:lang w:eastAsia="de-DE"/>
        </w:rPr>
        <w:t>r</w:t>
      </w:r>
      <w:r w:rsidR="00E2295E" w:rsidRPr="00C61E38">
        <w:rPr>
          <w:lang w:eastAsia="de-DE"/>
        </w:rPr>
        <w:t xml:space="preserve"> betreffenden </w:t>
      </w:r>
      <w:r w:rsidR="004B05B5" w:rsidRPr="00C61E38">
        <w:rPr>
          <w:lang w:eastAsia="de-DE"/>
        </w:rPr>
        <w:t xml:space="preserve">Kirchengemeinden </w:t>
      </w:r>
      <w:r w:rsidR="00E2295E" w:rsidRPr="00C61E38">
        <w:rPr>
          <w:lang w:eastAsia="de-DE"/>
        </w:rPr>
        <w:t xml:space="preserve">durch </w:t>
      </w:r>
      <w:r w:rsidR="00587134" w:rsidRPr="00C61E38">
        <w:rPr>
          <w:lang w:eastAsia="de-DE"/>
        </w:rPr>
        <w:t>Zuschüsse oder Darlehen</w:t>
      </w:r>
      <w:r w:rsidR="00C86722" w:rsidRPr="00C61E38">
        <w:rPr>
          <w:lang w:eastAsia="de-DE"/>
        </w:rPr>
        <w:t xml:space="preserve"> </w:t>
      </w:r>
      <w:r w:rsidR="00587134" w:rsidRPr="00C61E38">
        <w:rPr>
          <w:lang w:eastAsia="de-DE"/>
        </w:rPr>
        <w:t xml:space="preserve">nach Maßgabe des § 16 Abs. 3 des Finanzgesetzes der EKM sowie dieser Richtlinie </w:t>
      </w:r>
      <w:r w:rsidR="00C86722" w:rsidRPr="00C61E38">
        <w:rPr>
          <w:lang w:eastAsia="de-DE"/>
        </w:rPr>
        <w:t xml:space="preserve">zur anteiligen Finanzierung energetischer Sanierungsmaßnahmen </w:t>
      </w:r>
      <w:r w:rsidR="004B05B5" w:rsidRPr="00C61E38">
        <w:rPr>
          <w:lang w:eastAsia="de-DE"/>
        </w:rPr>
        <w:t>aufgestockt</w:t>
      </w:r>
      <w:r w:rsidR="00587134" w:rsidRPr="00C61E38">
        <w:rPr>
          <w:lang w:eastAsia="de-DE"/>
        </w:rPr>
        <w:t>.</w:t>
      </w:r>
    </w:p>
    <w:p w14:paraId="57FACC7E" w14:textId="77777777" w:rsidR="00CA7EB4" w:rsidRPr="00C61E38" w:rsidRDefault="00FE1B70" w:rsidP="00C61E38">
      <w:pPr>
        <w:pStyle w:val="berschrift2"/>
        <w:rPr>
          <w:lang w:eastAsia="de-DE"/>
        </w:rPr>
      </w:pPr>
      <w:bookmarkStart w:id="19" w:name="_Toc466920458"/>
      <w:bookmarkStart w:id="20" w:name="_Toc466977531"/>
      <w:bookmarkStart w:id="21" w:name="_Toc466988280"/>
      <w:bookmarkStart w:id="22" w:name="_Toc466990275"/>
      <w:bookmarkStart w:id="23" w:name="_Toc466990315"/>
      <w:bookmarkStart w:id="24" w:name="_Toc468910121"/>
      <w:bookmarkStart w:id="25" w:name="_Toc468910221"/>
      <w:bookmarkStart w:id="26" w:name="_Toc468910444"/>
      <w:bookmarkStart w:id="27" w:name="_Toc115194480"/>
      <w:r w:rsidRPr="00C61E38">
        <w:rPr>
          <w:lang w:eastAsia="de-DE"/>
        </w:rPr>
        <w:t>2.</w:t>
      </w:r>
      <w:r w:rsidR="00F45C32" w:rsidRPr="00C61E38">
        <w:rPr>
          <w:lang w:eastAsia="de-DE"/>
        </w:rPr>
        <w:t xml:space="preserve"> </w:t>
      </w:r>
      <w:r w:rsidR="00CA7EB4" w:rsidRPr="00C61E38">
        <w:rPr>
          <w:lang w:eastAsia="de-DE"/>
        </w:rPr>
        <w:t>Zuwendungsvoraussetzungen</w:t>
      </w:r>
      <w:r w:rsidR="0085787E" w:rsidRPr="00C61E38">
        <w:rPr>
          <w:lang w:eastAsia="de-DE"/>
        </w:rPr>
        <w:t xml:space="preserve"> </w:t>
      </w:r>
      <w:r w:rsidR="002170C8" w:rsidRPr="00C61E38">
        <w:rPr>
          <w:lang w:eastAsia="de-DE"/>
        </w:rPr>
        <w:t>/</w:t>
      </w:r>
      <w:r w:rsidR="0085787E" w:rsidRPr="00C61E38">
        <w:rPr>
          <w:lang w:eastAsia="de-DE"/>
        </w:rPr>
        <w:t xml:space="preserve"> </w:t>
      </w:r>
      <w:r w:rsidR="002170C8" w:rsidRPr="00C61E38">
        <w:rPr>
          <w:lang w:eastAsia="de-DE"/>
        </w:rPr>
        <w:t>Zuwendungsausschluss</w:t>
      </w:r>
      <w:bookmarkEnd w:id="19"/>
      <w:bookmarkEnd w:id="20"/>
      <w:bookmarkEnd w:id="21"/>
      <w:bookmarkEnd w:id="22"/>
      <w:bookmarkEnd w:id="23"/>
      <w:bookmarkEnd w:id="24"/>
      <w:bookmarkEnd w:id="25"/>
      <w:bookmarkEnd w:id="26"/>
      <w:bookmarkEnd w:id="27"/>
    </w:p>
    <w:p w14:paraId="143ECAC9" w14:textId="4E0AAC8E" w:rsidR="0062627A" w:rsidRPr="00C61E38" w:rsidRDefault="003D1790" w:rsidP="00C61E38">
      <w:pPr>
        <w:numPr>
          <w:ilvl w:val="1"/>
          <w:numId w:val="5"/>
        </w:numPr>
        <w:rPr>
          <w:lang w:eastAsia="de-DE"/>
        </w:rPr>
      </w:pPr>
      <w:r w:rsidRPr="00C61E38">
        <w:rPr>
          <w:lang w:eastAsia="de-DE"/>
        </w:rPr>
        <w:t xml:space="preserve">Mit den gewährten Zuwendungen und Darlehen werden die Kirchengemeinden bei </w:t>
      </w:r>
      <w:r w:rsidR="0062627A" w:rsidRPr="00C61E38">
        <w:t>der Finanzierung folgender Maßnahmen unterstützt:</w:t>
      </w:r>
    </w:p>
    <w:p w14:paraId="25463C90" w14:textId="1CD10A6C" w:rsidR="00F72C44" w:rsidRPr="00C61E38" w:rsidRDefault="00F63CDF" w:rsidP="00C61E38">
      <w:pPr>
        <w:numPr>
          <w:ilvl w:val="0"/>
          <w:numId w:val="2"/>
        </w:numPr>
        <w:ind w:left="709"/>
        <w:rPr>
          <w:lang w:eastAsia="de-DE"/>
        </w:rPr>
      </w:pPr>
      <w:r w:rsidRPr="00C61E38">
        <w:t xml:space="preserve">Energieberatung nach DIN V 18599 </w:t>
      </w:r>
      <w:r w:rsidR="0062627A" w:rsidRPr="00C61E38">
        <w:t>im Bestand</w:t>
      </w:r>
      <w:r w:rsidR="00BE0F14" w:rsidRPr="00C61E38">
        <w:t xml:space="preserve"> </w:t>
      </w:r>
      <w:r w:rsidR="00CD1BEA" w:rsidRPr="00C61E38">
        <w:t xml:space="preserve">an den unter dem nachfolgenden Abschnitt b) aufgeführten Gebäuden </w:t>
      </w:r>
      <w:r w:rsidR="00BE0F14" w:rsidRPr="00C61E38">
        <w:t>durch zugelassene Energieberater</w:t>
      </w:r>
      <w:r w:rsidR="00BE0F14" w:rsidRPr="00C61E38">
        <w:rPr>
          <w:rStyle w:val="Funotenzeichen"/>
        </w:rPr>
        <w:footnoteReference w:id="1"/>
      </w:r>
      <w:r w:rsidR="0062627A" w:rsidRPr="00C61E38">
        <w:t>, die es ermöglichen, Energieeffizienz und erneuerbare Energien in den Planungs- und Entscheidungsprozess einzubeziehen und damit die Effizienzpotentiale zum individuell günstigsten Zeitpunkt auszuschöpfen.</w:t>
      </w:r>
    </w:p>
    <w:p w14:paraId="3347CB59" w14:textId="79C3EA90" w:rsidR="003D1790" w:rsidRPr="00C61E38" w:rsidRDefault="003D1790" w:rsidP="00C61E38">
      <w:pPr>
        <w:numPr>
          <w:ilvl w:val="0"/>
          <w:numId w:val="2"/>
        </w:numPr>
        <w:ind w:left="709"/>
        <w:rPr>
          <w:lang w:eastAsia="de-DE"/>
        </w:rPr>
      </w:pPr>
      <w:r w:rsidRPr="00C61E38">
        <w:rPr>
          <w:lang w:eastAsia="de-DE"/>
        </w:rPr>
        <w:t>Bau</w:t>
      </w:r>
      <w:r w:rsidR="00F63CDF" w:rsidRPr="00C61E38">
        <w:rPr>
          <w:lang w:eastAsia="de-DE"/>
        </w:rPr>
        <w:t>- und Sanierungsmaßnahmen</w:t>
      </w:r>
      <w:r w:rsidR="00F72C44" w:rsidRPr="00C61E38">
        <w:rPr>
          <w:rStyle w:val="Funotenzeichen"/>
          <w:lang w:eastAsia="de-DE"/>
        </w:rPr>
        <w:footnoteReference w:id="2"/>
      </w:r>
      <w:r w:rsidRPr="00C61E38">
        <w:rPr>
          <w:lang w:eastAsia="de-DE"/>
        </w:rPr>
        <w:t xml:space="preserve"> </w:t>
      </w:r>
      <w:r w:rsidR="00F63CDF" w:rsidRPr="00C61E38">
        <w:rPr>
          <w:lang w:eastAsia="de-DE"/>
        </w:rPr>
        <w:t>nach erfolgter Energieberatung</w:t>
      </w:r>
      <w:r w:rsidRPr="00C61E38">
        <w:rPr>
          <w:lang w:eastAsia="de-DE"/>
        </w:rPr>
        <w:t xml:space="preserve">, die geeignet sind, den Energieverbrauch an folgenden Gebäuden im Eigentum </w:t>
      </w:r>
      <w:r w:rsidR="006856A5" w:rsidRPr="00C61E38">
        <w:rPr>
          <w:lang w:eastAsia="de-DE"/>
        </w:rPr>
        <w:t xml:space="preserve">der Kirchengemeinden </w:t>
      </w:r>
      <w:r w:rsidRPr="00C61E38">
        <w:rPr>
          <w:lang w:eastAsia="de-DE"/>
        </w:rPr>
        <w:t>zu reduzieren:</w:t>
      </w:r>
    </w:p>
    <w:p w14:paraId="2229CCB9" w14:textId="68448D68" w:rsidR="00F63CDF" w:rsidRPr="00C61E38" w:rsidRDefault="003D1790" w:rsidP="00C61E38">
      <w:pPr>
        <w:numPr>
          <w:ilvl w:val="1"/>
          <w:numId w:val="2"/>
        </w:numPr>
        <w:ind w:left="1134"/>
        <w:rPr>
          <w:lang w:eastAsia="de-DE"/>
        </w:rPr>
      </w:pPr>
      <w:r w:rsidRPr="00C61E38">
        <w:rPr>
          <w:lang w:eastAsia="de-DE"/>
        </w:rPr>
        <w:lastRenderedPageBreak/>
        <w:t>Pfarrhäuser mit oder ohne Gemeinderäume, jedoch mit Pfarrdienstwohnungen</w:t>
      </w:r>
      <w:r w:rsidRPr="00C61E38">
        <w:rPr>
          <w:rStyle w:val="Funotenzeichen"/>
          <w:lang w:eastAsia="de-DE"/>
        </w:rPr>
        <w:footnoteReference w:id="3"/>
      </w:r>
      <w:r w:rsidRPr="00C61E38">
        <w:rPr>
          <w:lang w:eastAsia="de-DE"/>
        </w:rPr>
        <w:t xml:space="preserve"> und</w:t>
      </w:r>
    </w:p>
    <w:p w14:paraId="545ACE4D" w14:textId="71A24703" w:rsidR="003F4A08" w:rsidRPr="00C61E38" w:rsidRDefault="003D1790" w:rsidP="00C61E38">
      <w:pPr>
        <w:numPr>
          <w:ilvl w:val="1"/>
          <w:numId w:val="2"/>
        </w:numPr>
        <w:ind w:left="1134"/>
        <w:rPr>
          <w:lang w:eastAsia="de-DE"/>
        </w:rPr>
      </w:pPr>
      <w:r w:rsidRPr="00C61E38">
        <w:rPr>
          <w:lang w:eastAsia="de-DE"/>
        </w:rPr>
        <w:t>Gemeindehäuser und Gemeindezentren</w:t>
      </w:r>
      <w:r w:rsidR="00CD1BEA" w:rsidRPr="00C61E38">
        <w:rPr>
          <w:rStyle w:val="Funotenzeichen"/>
          <w:lang w:eastAsia="de-DE"/>
        </w:rPr>
        <w:footnoteReference w:id="4"/>
      </w:r>
      <w:r w:rsidR="00DE4E80" w:rsidRPr="00C61E38">
        <w:rPr>
          <w:lang w:eastAsia="de-DE"/>
        </w:rPr>
        <w:t xml:space="preserve"> mit oder ohne Dienst</w:t>
      </w:r>
      <w:r w:rsidR="00233D96" w:rsidRPr="00C61E38">
        <w:rPr>
          <w:lang w:eastAsia="de-DE"/>
        </w:rPr>
        <w:t>wohnungen,</w:t>
      </w:r>
      <w:r w:rsidR="00DE4E80" w:rsidRPr="00C61E38">
        <w:rPr>
          <w:lang w:eastAsia="de-DE"/>
        </w:rPr>
        <w:t xml:space="preserve"> fremdvermiete Wohnungen</w:t>
      </w:r>
      <w:r w:rsidR="00233D96" w:rsidRPr="00C61E38">
        <w:rPr>
          <w:lang w:eastAsia="de-DE"/>
        </w:rPr>
        <w:t xml:space="preserve"> oder sonstige fremdvermietete Nutzflächen des Gebäudes</w:t>
      </w:r>
      <w:r w:rsidRPr="00C61E38">
        <w:rPr>
          <w:lang w:eastAsia="de-DE"/>
        </w:rPr>
        <w:t>.</w:t>
      </w:r>
    </w:p>
    <w:p w14:paraId="798B4256" w14:textId="2E14E046" w:rsidR="00AF1209" w:rsidRPr="00C61E38" w:rsidRDefault="00AF1209" w:rsidP="00C61E38">
      <w:pPr>
        <w:numPr>
          <w:ilvl w:val="1"/>
          <w:numId w:val="2"/>
        </w:numPr>
        <w:ind w:left="1134"/>
        <w:rPr>
          <w:lang w:eastAsia="de-DE"/>
        </w:rPr>
      </w:pPr>
      <w:r w:rsidRPr="00C61E38">
        <w:rPr>
          <w:lang w:eastAsia="de-DE"/>
        </w:rPr>
        <w:t>in Kirchengebäuden eingebaute Gemeinderäume, wenn in diesen eine mit Gemeindehäusern und Gemeindezentren vergleichbare Gemeindearbeit nach Punkt II. stattfindet</w:t>
      </w:r>
      <w:r w:rsidR="00B01D1C" w:rsidRPr="00C61E38">
        <w:rPr>
          <w:lang w:eastAsia="de-DE"/>
        </w:rPr>
        <w:t xml:space="preserve"> und</w:t>
      </w:r>
      <w:r w:rsidRPr="00C61E38">
        <w:rPr>
          <w:lang w:eastAsia="de-DE"/>
        </w:rPr>
        <w:t xml:space="preserve"> sie über eine fest installierte </w:t>
      </w:r>
      <w:r w:rsidR="00D741F5" w:rsidRPr="00C61E38">
        <w:rPr>
          <w:lang w:eastAsia="de-DE"/>
        </w:rPr>
        <w:t xml:space="preserve">und mit festen, flüssigen oder gasförmig Energieträgern betriebenen </w:t>
      </w:r>
      <w:r w:rsidRPr="00C61E38">
        <w:rPr>
          <w:lang w:eastAsia="de-DE"/>
        </w:rPr>
        <w:t>Heizungsanlage verfügen</w:t>
      </w:r>
      <w:r w:rsidR="00B01D1C" w:rsidRPr="00C61E38">
        <w:rPr>
          <w:lang w:eastAsia="de-DE"/>
        </w:rPr>
        <w:t>.</w:t>
      </w:r>
    </w:p>
    <w:p w14:paraId="001CAE16" w14:textId="14A8506D" w:rsidR="00795444" w:rsidRPr="00C61E38" w:rsidRDefault="00795444" w:rsidP="00C61E38">
      <w:pPr>
        <w:numPr>
          <w:ilvl w:val="1"/>
          <w:numId w:val="5"/>
        </w:numPr>
        <w:rPr>
          <w:lang w:eastAsia="de-DE"/>
        </w:rPr>
      </w:pPr>
      <w:r w:rsidRPr="00C61E38">
        <w:rPr>
          <w:lang w:eastAsia="de-DE"/>
        </w:rPr>
        <w:t xml:space="preserve">Voraussetzungen für die Gewährung einer Zuwendung auf der Grundlage dieser Richtlinie sind: </w:t>
      </w:r>
    </w:p>
    <w:p w14:paraId="7358C259" w14:textId="3F985BF5" w:rsidR="00B820AB" w:rsidRPr="00C61E38" w:rsidRDefault="00795444" w:rsidP="00C61E38">
      <w:pPr>
        <w:numPr>
          <w:ilvl w:val="0"/>
          <w:numId w:val="7"/>
        </w:numPr>
        <w:ind w:left="709" w:hanging="283"/>
        <w:rPr>
          <w:lang w:eastAsia="de-DE"/>
        </w:rPr>
      </w:pPr>
      <w:r w:rsidRPr="00C61E38">
        <w:rPr>
          <w:lang w:eastAsia="de-DE"/>
        </w:rPr>
        <w:t xml:space="preserve">die Durchführung einer </w:t>
      </w:r>
      <w:r w:rsidRPr="00C61E38">
        <w:t>Energieberatung durch einen zugelassenen Energieberater</w:t>
      </w:r>
      <w:r w:rsidRPr="00C61E38">
        <w:rPr>
          <w:lang w:eastAsia="de-DE"/>
        </w:rPr>
        <w:t xml:space="preserve"> vor den </w:t>
      </w:r>
      <w:r w:rsidR="00F63CDF" w:rsidRPr="00C61E38">
        <w:rPr>
          <w:lang w:eastAsia="de-DE"/>
        </w:rPr>
        <w:t xml:space="preserve">geplanten </w:t>
      </w:r>
      <w:r w:rsidRPr="00C61E38">
        <w:rPr>
          <w:lang w:eastAsia="de-DE"/>
        </w:rPr>
        <w:t>energetischen Sanierungsmaßnahmen (siehe auch Punkt 2.1 a).</w:t>
      </w:r>
    </w:p>
    <w:p w14:paraId="793C4709" w14:textId="77777777" w:rsidR="00B64EBC" w:rsidRPr="00C61E38" w:rsidRDefault="00795444" w:rsidP="00C61E38">
      <w:pPr>
        <w:numPr>
          <w:ilvl w:val="0"/>
          <w:numId w:val="7"/>
        </w:numPr>
        <w:ind w:left="709" w:hanging="283"/>
        <w:rPr>
          <w:lang w:eastAsia="de-DE"/>
        </w:rPr>
      </w:pPr>
      <w:r w:rsidRPr="00C61E38">
        <w:rPr>
          <w:lang w:eastAsia="de-DE"/>
        </w:rPr>
        <w:t>bei Heizungssanierungen bzw. Heizungserneuerungen in Gebäuden mit mehreren Nutzern der Einbau von Wärmemesseinrichtungen (z.B. Wärmemengenzähler), die eine Ermittlung der auf jeden Nutzer entfallenden jährlichen Betriebskosten der Heizungsanlage ermöglicht,</w:t>
      </w:r>
      <w:r w:rsidR="00B64EBC" w:rsidRPr="00C61E38">
        <w:rPr>
          <w:lang w:eastAsia="de-DE"/>
        </w:rPr>
        <w:t xml:space="preserve"> </w:t>
      </w:r>
    </w:p>
    <w:p w14:paraId="48AE9C39" w14:textId="0B027B2E" w:rsidR="00B64EBC" w:rsidRPr="00C61E38" w:rsidRDefault="00B64EBC" w:rsidP="00C61E38">
      <w:pPr>
        <w:numPr>
          <w:ilvl w:val="0"/>
          <w:numId w:val="7"/>
        </w:numPr>
        <w:ind w:left="709" w:hanging="283"/>
        <w:rPr>
          <w:lang w:eastAsia="de-DE"/>
        </w:rPr>
      </w:pPr>
      <w:r w:rsidRPr="00C61E38">
        <w:rPr>
          <w:lang w:eastAsia="de-DE"/>
        </w:rPr>
        <w:t xml:space="preserve">die Berücksichtigung der </w:t>
      </w:r>
      <w:r w:rsidRPr="00C61E38">
        <w:rPr>
          <w:i/>
          <w:iCs/>
          <w:lang w:eastAsia="de-DE"/>
        </w:rPr>
        <w:t xml:space="preserve">„ökologischen Grundsätze bei baulichen Maßnahmen im Bereich der EKM“ </w:t>
      </w:r>
      <w:r w:rsidRPr="00C61E38">
        <w:rPr>
          <w:lang w:eastAsia="de-DE"/>
        </w:rPr>
        <w:t>(Anlage 1 der Kirchbauverordnung der EKM) sowie</w:t>
      </w:r>
    </w:p>
    <w:p w14:paraId="615A87F8" w14:textId="081A8B56" w:rsidR="003F4A08" w:rsidRPr="00C61E38" w:rsidRDefault="00B64EBC" w:rsidP="00C61E38">
      <w:pPr>
        <w:numPr>
          <w:ilvl w:val="0"/>
          <w:numId w:val="7"/>
        </w:numPr>
        <w:ind w:left="709" w:hanging="283"/>
        <w:rPr>
          <w:lang w:eastAsia="de-DE"/>
        </w:rPr>
      </w:pPr>
      <w:r w:rsidRPr="00C61E38">
        <w:rPr>
          <w:lang w:eastAsia="de-DE"/>
        </w:rPr>
        <w:t>ein entscheidungsreifer Antrag, dem mindestens die Anlagen gemäß § 17 Abs. 5 der Ausführungsverordnung Finanzgesetz EKM</w:t>
      </w:r>
      <w:r w:rsidRPr="00C61E38">
        <w:rPr>
          <w:rStyle w:val="Funotenzeichen"/>
          <w:lang w:eastAsia="de-DE"/>
        </w:rPr>
        <w:footnoteReference w:id="5"/>
      </w:r>
      <w:r w:rsidRPr="00C61E38">
        <w:rPr>
          <w:lang w:eastAsia="de-DE"/>
        </w:rPr>
        <w:t xml:space="preserve"> beigefügt sind. Für die Antragstellung ist Punkt 2.8 dieser Richtlinie zwingend zu beachten.</w:t>
      </w:r>
    </w:p>
    <w:p w14:paraId="79638274" w14:textId="1B88F980" w:rsidR="00B64EBC" w:rsidRPr="00C61E38" w:rsidRDefault="00CA7EB4" w:rsidP="00C61E38">
      <w:pPr>
        <w:numPr>
          <w:ilvl w:val="1"/>
          <w:numId w:val="5"/>
        </w:numPr>
        <w:rPr>
          <w:lang w:eastAsia="de-DE"/>
        </w:rPr>
      </w:pPr>
      <w:r w:rsidRPr="00C61E38">
        <w:rPr>
          <w:lang w:eastAsia="de-DE"/>
        </w:rPr>
        <w:t xml:space="preserve">Zuwendungen werden </w:t>
      </w:r>
      <w:r w:rsidR="00795444" w:rsidRPr="00C61E38">
        <w:rPr>
          <w:lang w:eastAsia="de-DE"/>
        </w:rPr>
        <w:t xml:space="preserve">zudem </w:t>
      </w:r>
      <w:r w:rsidR="00B64EBC" w:rsidRPr="00C61E38">
        <w:rPr>
          <w:lang w:eastAsia="de-DE"/>
        </w:rPr>
        <w:t xml:space="preserve">nur </w:t>
      </w:r>
      <w:r w:rsidR="003F4A08" w:rsidRPr="00C61E38">
        <w:rPr>
          <w:lang w:eastAsia="de-DE"/>
        </w:rPr>
        <w:t>gewährt,</w:t>
      </w:r>
      <w:r w:rsidR="00B64EBC" w:rsidRPr="00C61E38">
        <w:rPr>
          <w:lang w:eastAsia="de-DE"/>
        </w:rPr>
        <w:t xml:space="preserve"> wenn:</w:t>
      </w:r>
    </w:p>
    <w:p w14:paraId="20EE34A5" w14:textId="58DF88E8" w:rsidR="00B64EBC" w:rsidRPr="00C61E38" w:rsidRDefault="00B64EBC" w:rsidP="00C61E38">
      <w:pPr>
        <w:numPr>
          <w:ilvl w:val="0"/>
          <w:numId w:val="8"/>
        </w:numPr>
        <w:ind w:left="709" w:hanging="283"/>
        <w:rPr>
          <w:lang w:eastAsia="de-DE"/>
        </w:rPr>
      </w:pPr>
      <w:r w:rsidRPr="00C61E38">
        <w:rPr>
          <w:lang w:eastAsia="de-DE"/>
        </w:rPr>
        <w:t xml:space="preserve">die beantragende Kirchengemeinde </w:t>
      </w:r>
      <w:r w:rsidR="00CA7EB4" w:rsidRPr="00C61E38">
        <w:rPr>
          <w:lang w:eastAsia="de-DE"/>
        </w:rPr>
        <w:t>gemäß § 1</w:t>
      </w:r>
      <w:r w:rsidR="00D4589F" w:rsidRPr="00C61E38">
        <w:rPr>
          <w:lang w:eastAsia="de-DE"/>
        </w:rPr>
        <w:t>6</w:t>
      </w:r>
      <w:r w:rsidR="00CA7EB4" w:rsidRPr="00C61E38">
        <w:rPr>
          <w:lang w:eastAsia="de-DE"/>
        </w:rPr>
        <w:t xml:space="preserve"> Abs. </w:t>
      </w:r>
      <w:r w:rsidR="00D4589F" w:rsidRPr="00C61E38">
        <w:rPr>
          <w:lang w:eastAsia="de-DE"/>
        </w:rPr>
        <w:t>3</w:t>
      </w:r>
      <w:r w:rsidR="00CA7EB4" w:rsidRPr="00C61E38">
        <w:rPr>
          <w:lang w:eastAsia="de-DE"/>
        </w:rPr>
        <w:t xml:space="preserve"> Finanzgesetz den Gemeindebeitrag gemäß den kirchengesetzlichen Bestimmungen erhebt</w:t>
      </w:r>
      <w:r w:rsidRPr="00C61E38">
        <w:rPr>
          <w:lang w:eastAsia="de-DE"/>
        </w:rPr>
        <w:t xml:space="preserve"> und</w:t>
      </w:r>
    </w:p>
    <w:p w14:paraId="23E29FC9" w14:textId="56882BAB" w:rsidR="002501AB" w:rsidRPr="00C61E38" w:rsidRDefault="00835CE2" w:rsidP="00C61E38">
      <w:pPr>
        <w:numPr>
          <w:ilvl w:val="0"/>
          <w:numId w:val="8"/>
        </w:numPr>
        <w:ind w:left="709" w:hanging="283"/>
        <w:rPr>
          <w:lang w:eastAsia="de-DE"/>
        </w:rPr>
      </w:pPr>
      <w:r w:rsidRPr="00C61E38">
        <w:rPr>
          <w:lang w:eastAsia="de-DE"/>
        </w:rPr>
        <w:t>die Maßnahme inhaltlich mit dem/der zuständigen Kirchenbaureferenten /Kirchenbaureferentin abgestimmt ist.</w:t>
      </w:r>
    </w:p>
    <w:p w14:paraId="2A52C8E6" w14:textId="295F3DE9" w:rsidR="003F4A08" w:rsidRPr="00C61E38" w:rsidRDefault="00CA7EB4" w:rsidP="00C61E38">
      <w:pPr>
        <w:numPr>
          <w:ilvl w:val="1"/>
          <w:numId w:val="6"/>
        </w:numPr>
        <w:rPr>
          <w:lang w:eastAsia="de-DE"/>
        </w:rPr>
      </w:pPr>
      <w:r w:rsidRPr="00C61E38">
        <w:rPr>
          <w:lang w:eastAsia="de-DE"/>
        </w:rPr>
        <w:t>Auf die Gewährung einer Zuwendung besteht kein Rechtsanspruch. Die Zuwendungen werden im Rahmen der i</w:t>
      </w:r>
      <w:r w:rsidR="00B71E54" w:rsidRPr="00C61E38">
        <w:rPr>
          <w:lang w:eastAsia="de-DE"/>
        </w:rPr>
        <w:t xml:space="preserve">m Sonderfonds </w:t>
      </w:r>
      <w:r w:rsidRPr="00C61E38">
        <w:rPr>
          <w:lang w:eastAsia="de-DE"/>
        </w:rPr>
        <w:t xml:space="preserve">verfügbaren Haushaltsmittel nach vorhergehender </w:t>
      </w:r>
      <w:r w:rsidR="005C4FDE" w:rsidRPr="00C61E38">
        <w:rPr>
          <w:lang w:eastAsia="de-DE"/>
        </w:rPr>
        <w:t>Prüfung</w:t>
      </w:r>
      <w:r w:rsidR="00FF741F" w:rsidRPr="00C61E38">
        <w:rPr>
          <w:lang w:eastAsia="de-DE"/>
        </w:rPr>
        <w:t xml:space="preserve"> </w:t>
      </w:r>
      <w:r w:rsidRPr="00C61E38">
        <w:rPr>
          <w:lang w:eastAsia="de-DE"/>
        </w:rPr>
        <w:t>durch die für die Bewilligung jeweils Zuständigen bewilligt.</w:t>
      </w:r>
    </w:p>
    <w:p w14:paraId="45D6D462" w14:textId="11A409A0" w:rsidR="00E2295E" w:rsidRPr="00C61E38" w:rsidRDefault="00E2295E" w:rsidP="00C61E38">
      <w:pPr>
        <w:numPr>
          <w:ilvl w:val="1"/>
          <w:numId w:val="6"/>
        </w:numPr>
        <w:rPr>
          <w:lang w:eastAsia="de-DE"/>
        </w:rPr>
      </w:pPr>
      <w:r w:rsidRPr="00C61E38">
        <w:rPr>
          <w:lang w:eastAsia="de-DE"/>
        </w:rPr>
        <w:t xml:space="preserve">So lange Mittel im eingerichteten Sonderfonds des Strukturfonds vorhanden sind, werden Zuwendungen und Darlehen für energetische Sanierungsmaßnahmen nur nach dieser Richtlinie und nicht aus dem Baulastfonds bezuschusst. </w:t>
      </w:r>
    </w:p>
    <w:p w14:paraId="62012745" w14:textId="07891F3F" w:rsidR="003F4A08" w:rsidRPr="00C61E38" w:rsidRDefault="00B71E54" w:rsidP="00C61E38">
      <w:pPr>
        <w:numPr>
          <w:ilvl w:val="1"/>
          <w:numId w:val="6"/>
        </w:numPr>
        <w:rPr>
          <w:lang w:eastAsia="de-DE"/>
        </w:rPr>
      </w:pPr>
      <w:r w:rsidRPr="00C61E38">
        <w:rPr>
          <w:lang w:eastAsia="de-DE"/>
        </w:rPr>
        <w:t>Energetische</w:t>
      </w:r>
      <w:r w:rsidR="009922E9" w:rsidRPr="00C61E38">
        <w:rPr>
          <w:lang w:eastAsia="de-DE"/>
        </w:rPr>
        <w:t xml:space="preserve"> Sanierungsmaßnahmen an Wohnungen oder einzelnen Räumen, die auf der Basis privater Mietverträge an Dritte vermietet sind, werden nicht bezuschusst. In solchen Gebäuden wird die Zuschusshöhe entsprechend des kirchlichen Nutzungsanteils in Bezug auf die Gesamtnutzung des Gebäudes festgesetzt.</w:t>
      </w:r>
    </w:p>
    <w:p w14:paraId="43F21E8B" w14:textId="1B838201" w:rsidR="003F4A08" w:rsidRPr="00C61E38" w:rsidRDefault="001537BF" w:rsidP="00C61E38">
      <w:pPr>
        <w:numPr>
          <w:ilvl w:val="1"/>
          <w:numId w:val="6"/>
        </w:numPr>
        <w:rPr>
          <w:lang w:eastAsia="de-DE"/>
        </w:rPr>
      </w:pPr>
      <w:r w:rsidRPr="00C61E38">
        <w:rPr>
          <w:b/>
          <w:bCs/>
          <w:lang w:eastAsia="de-DE"/>
        </w:rPr>
        <w:lastRenderedPageBreak/>
        <w:t xml:space="preserve">Es werden </w:t>
      </w:r>
      <w:r w:rsidR="0091651F" w:rsidRPr="00C61E38">
        <w:rPr>
          <w:b/>
          <w:bCs/>
          <w:lang w:eastAsia="de-DE"/>
        </w:rPr>
        <w:t xml:space="preserve">in der Regel </w:t>
      </w:r>
      <w:r w:rsidRPr="00C61E38">
        <w:rPr>
          <w:b/>
          <w:bCs/>
          <w:lang w:eastAsia="de-DE"/>
        </w:rPr>
        <w:t>nur Vorhaben bezuschusst, die zum Zeitpunkt der Antragstellung noch nicht begonnen wurden.</w:t>
      </w:r>
      <w:r w:rsidRPr="00C61E38">
        <w:rPr>
          <w:lang w:eastAsia="de-DE"/>
        </w:rPr>
        <w:t xml:space="preserve"> Will der Antragsteller vor der Bewilligung der Zuwendung mit dem Vorhaben beginnen (vorzeitiger Maßnahmebeginn), so bedarf dies grundsätzlich der vorherigen Zustimmung des Kreiskirchenrates und des/der zuständigen Kirchenbaureferenten /Kirchenbaureferentin.</w:t>
      </w:r>
    </w:p>
    <w:p w14:paraId="5746AFD7" w14:textId="258DA24C" w:rsidR="003F4A08" w:rsidRPr="00C61E38" w:rsidRDefault="001537BF" w:rsidP="00C61E38">
      <w:pPr>
        <w:numPr>
          <w:ilvl w:val="1"/>
          <w:numId w:val="6"/>
        </w:numPr>
        <w:rPr>
          <w:lang w:eastAsia="de-DE"/>
        </w:rPr>
      </w:pPr>
      <w:r w:rsidRPr="00C61E38">
        <w:rPr>
          <w:lang w:eastAsia="de-DE"/>
        </w:rPr>
        <w:t xml:space="preserve">Es muss der Nachweis erbracht werden, dass </w:t>
      </w:r>
      <w:r w:rsidR="0091651F" w:rsidRPr="00C61E38">
        <w:rPr>
          <w:lang w:eastAsia="de-DE"/>
        </w:rPr>
        <w:t xml:space="preserve">mit der beantragten Zuwendung aus dem </w:t>
      </w:r>
      <w:r w:rsidR="005C4FDE" w:rsidRPr="00C61E38">
        <w:rPr>
          <w:lang w:eastAsia="de-DE"/>
        </w:rPr>
        <w:t>Sonder</w:t>
      </w:r>
      <w:r w:rsidR="0091651F" w:rsidRPr="00C61E38">
        <w:rPr>
          <w:lang w:eastAsia="de-DE"/>
        </w:rPr>
        <w:t xml:space="preserve">fonds, den </w:t>
      </w:r>
      <w:r w:rsidR="005C4FDE" w:rsidRPr="00C61E38">
        <w:rPr>
          <w:lang w:eastAsia="de-DE"/>
        </w:rPr>
        <w:t xml:space="preserve">bewilligten Fördermitteln und den </w:t>
      </w:r>
      <w:r w:rsidR="0091651F" w:rsidRPr="00C61E38">
        <w:rPr>
          <w:lang w:eastAsia="de-DE"/>
        </w:rPr>
        <w:t xml:space="preserve">vorhandenen Eigenmitteln </w:t>
      </w:r>
      <w:r w:rsidRPr="00C61E38">
        <w:rPr>
          <w:lang w:eastAsia="de-DE"/>
        </w:rPr>
        <w:t>die Gesamtfinanzierung des Vorhabens gesichert ist.</w:t>
      </w:r>
    </w:p>
    <w:p w14:paraId="73389908" w14:textId="01797BD9" w:rsidR="003F4A08" w:rsidRPr="00C61E38" w:rsidRDefault="001537BF" w:rsidP="00C61E38">
      <w:pPr>
        <w:numPr>
          <w:ilvl w:val="1"/>
          <w:numId w:val="6"/>
        </w:numPr>
        <w:rPr>
          <w:lang w:eastAsia="de-DE"/>
        </w:rPr>
      </w:pPr>
      <w:r w:rsidRPr="00C61E38">
        <w:rPr>
          <w:lang w:eastAsia="de-DE"/>
        </w:rPr>
        <w:t>Der Zuwendungsempfänger muss über eine ordnungsgemäße Geschäftsführung verfügen und in der Lage sein, die Verwendung der Mittel bestimmungsgemäß nachzuweisen.</w:t>
      </w:r>
    </w:p>
    <w:p w14:paraId="12460ABA" w14:textId="04210BA4" w:rsidR="00ED3372" w:rsidRPr="00C61E38" w:rsidRDefault="001537BF" w:rsidP="00C61E38">
      <w:pPr>
        <w:numPr>
          <w:ilvl w:val="1"/>
          <w:numId w:val="6"/>
        </w:numPr>
        <w:rPr>
          <w:lang w:eastAsia="de-DE"/>
        </w:rPr>
      </w:pPr>
      <w:r w:rsidRPr="00C61E38">
        <w:rPr>
          <w:lang w:eastAsia="de-DE"/>
        </w:rPr>
        <w:t>Für die Gewährung von Darlehen gelten die Bestimmungen dieser Richtlinie entsprechend.</w:t>
      </w:r>
    </w:p>
    <w:p w14:paraId="144B7AA7" w14:textId="12B1FFF5" w:rsidR="004F4F17" w:rsidRPr="00C61E38" w:rsidRDefault="00313662" w:rsidP="00C61E38">
      <w:pPr>
        <w:pStyle w:val="berschrift2"/>
        <w:rPr>
          <w:lang w:eastAsia="de-DE"/>
        </w:rPr>
      </w:pPr>
      <w:bookmarkStart w:id="28" w:name="_Toc466920465"/>
      <w:bookmarkStart w:id="29" w:name="_Toc466977538"/>
      <w:bookmarkStart w:id="30" w:name="_Toc466988287"/>
      <w:bookmarkStart w:id="31" w:name="_Toc466990284"/>
      <w:bookmarkStart w:id="32" w:name="_Toc466990324"/>
      <w:bookmarkStart w:id="33" w:name="_Toc468910130"/>
      <w:bookmarkStart w:id="34" w:name="_Toc468910230"/>
      <w:bookmarkStart w:id="35" w:name="_Toc468910453"/>
      <w:bookmarkStart w:id="36" w:name="_Toc115194481"/>
      <w:r w:rsidRPr="00C61E38">
        <w:rPr>
          <w:lang w:eastAsia="de-DE"/>
        </w:rPr>
        <w:t>3</w:t>
      </w:r>
      <w:r w:rsidR="00B325D2" w:rsidRPr="00C61E38">
        <w:rPr>
          <w:lang w:eastAsia="de-DE"/>
        </w:rPr>
        <w:t>. Zuschuss</w:t>
      </w:r>
      <w:r w:rsidRPr="00C61E38">
        <w:rPr>
          <w:lang w:eastAsia="de-DE"/>
        </w:rPr>
        <w:t>- bzw. Darlehens</w:t>
      </w:r>
      <w:r w:rsidR="00B325D2" w:rsidRPr="00C61E38">
        <w:rPr>
          <w:lang w:eastAsia="de-DE"/>
        </w:rPr>
        <w:t>höhe</w:t>
      </w:r>
      <w:bookmarkEnd w:id="28"/>
      <w:bookmarkEnd w:id="29"/>
      <w:bookmarkEnd w:id="30"/>
      <w:bookmarkEnd w:id="31"/>
      <w:bookmarkEnd w:id="32"/>
      <w:bookmarkEnd w:id="33"/>
      <w:bookmarkEnd w:id="34"/>
      <w:bookmarkEnd w:id="35"/>
      <w:bookmarkEnd w:id="36"/>
    </w:p>
    <w:p w14:paraId="509E2C30" w14:textId="77777777" w:rsidR="00C61E38" w:rsidRDefault="00A74E19" w:rsidP="00C61E38">
      <w:pPr>
        <w:numPr>
          <w:ilvl w:val="1"/>
          <w:numId w:val="3"/>
        </w:numPr>
        <w:rPr>
          <w:lang w:eastAsia="de-DE"/>
        </w:rPr>
      </w:pPr>
      <w:r w:rsidRPr="00C61E38">
        <w:rPr>
          <w:lang w:eastAsia="de-DE"/>
        </w:rPr>
        <w:t>Aus de</w:t>
      </w:r>
      <w:r w:rsidR="00313662" w:rsidRPr="00C61E38">
        <w:rPr>
          <w:lang w:eastAsia="de-DE"/>
        </w:rPr>
        <w:t xml:space="preserve">m eingerichteten </w:t>
      </w:r>
      <w:r w:rsidRPr="00C61E38">
        <w:rPr>
          <w:lang w:eastAsia="de-DE"/>
        </w:rPr>
        <w:t xml:space="preserve">Fonds werden </w:t>
      </w:r>
      <w:r w:rsidR="00822E83" w:rsidRPr="00C61E38">
        <w:rPr>
          <w:lang w:eastAsia="de-DE"/>
        </w:rPr>
        <w:t xml:space="preserve">Zuschüsse </w:t>
      </w:r>
      <w:r w:rsidR="004B05B5" w:rsidRPr="00C61E38">
        <w:rPr>
          <w:lang w:eastAsia="de-DE"/>
        </w:rPr>
        <w:t xml:space="preserve">des Kirchenkreises unter Beachtung etwaiger gewährter staatlicher Förderungen bis </w:t>
      </w:r>
      <w:r w:rsidR="00822E83" w:rsidRPr="00C61E38">
        <w:rPr>
          <w:lang w:eastAsia="de-DE"/>
        </w:rPr>
        <w:t xml:space="preserve">in Höhe von </w:t>
      </w:r>
      <w:r w:rsidR="00313662" w:rsidRPr="00C61E38">
        <w:rPr>
          <w:b/>
          <w:lang w:eastAsia="de-DE"/>
        </w:rPr>
        <w:t>50 v.H.</w:t>
      </w:r>
      <w:r w:rsidRPr="00C61E38">
        <w:rPr>
          <w:lang w:eastAsia="de-DE"/>
        </w:rPr>
        <w:t xml:space="preserve"> </w:t>
      </w:r>
      <w:r w:rsidR="001E474A" w:rsidRPr="00C61E38">
        <w:rPr>
          <w:lang w:eastAsia="de-DE"/>
        </w:rPr>
        <w:t xml:space="preserve">der zuschussfähigen Kosten </w:t>
      </w:r>
      <w:r w:rsidR="00313662" w:rsidRPr="00C61E38">
        <w:rPr>
          <w:lang w:eastAsia="de-DE"/>
        </w:rPr>
        <w:t xml:space="preserve">gewährt. Basis für die Ermittlung der Zuschusshöhe sind </w:t>
      </w:r>
      <w:r w:rsidR="00D51C7F" w:rsidRPr="00C61E38">
        <w:rPr>
          <w:lang w:eastAsia="de-DE"/>
        </w:rPr>
        <w:t xml:space="preserve">die </w:t>
      </w:r>
      <w:r w:rsidRPr="00C61E38">
        <w:rPr>
          <w:lang w:eastAsia="de-DE"/>
        </w:rPr>
        <w:t>zugrunde zu legenden Kosten</w:t>
      </w:r>
      <w:r w:rsidR="00D51C7F" w:rsidRPr="00C61E38">
        <w:rPr>
          <w:lang w:eastAsia="de-DE"/>
        </w:rPr>
        <w:t xml:space="preserve"> der geplanten energetischen Sanierungsmaßnahme</w:t>
      </w:r>
      <w:r w:rsidRPr="00C61E38">
        <w:rPr>
          <w:lang w:eastAsia="de-DE"/>
        </w:rPr>
        <w:t>.</w:t>
      </w:r>
      <w:r w:rsidR="00D51C7F" w:rsidRPr="00C61E38">
        <w:rPr>
          <w:lang w:eastAsia="de-DE"/>
        </w:rPr>
        <w:t xml:space="preserve"> </w:t>
      </w:r>
      <w:r w:rsidR="004B05B5" w:rsidRPr="00C61E38">
        <w:rPr>
          <w:lang w:eastAsia="de-DE"/>
        </w:rPr>
        <w:t xml:space="preserve">Soweit 50 v.H. der Zuschusshöhe nicht überschritten ist, kann die gewährte Höhe des Zuschusses oder Darlehens bis in Höhe der Differenz zwischen den förderfähigen Kosten und der Höhe staatlicher Förderungen betragen. </w:t>
      </w:r>
      <w:bookmarkStart w:id="37" w:name="_Hlk120642753"/>
    </w:p>
    <w:p w14:paraId="24CE4946" w14:textId="3DF73AF9" w:rsidR="00D51C7F" w:rsidRPr="00C61E38" w:rsidRDefault="00D51C7F" w:rsidP="00C61E38">
      <w:pPr>
        <w:ind w:left="360"/>
        <w:rPr>
          <w:lang w:eastAsia="de-DE"/>
        </w:rPr>
      </w:pPr>
      <w:r w:rsidRPr="00C61E38">
        <w:rPr>
          <w:lang w:eastAsia="de-DE"/>
        </w:rPr>
        <w:t xml:space="preserve">Die Zuschüsse des Kirchenkreises </w:t>
      </w:r>
      <w:r w:rsidR="00E629FA" w:rsidRPr="00C61E38">
        <w:rPr>
          <w:lang w:eastAsia="de-DE"/>
        </w:rPr>
        <w:t>verstärken die</w:t>
      </w:r>
      <w:r w:rsidRPr="00C61E38">
        <w:rPr>
          <w:lang w:eastAsia="de-DE"/>
        </w:rPr>
        <w:t xml:space="preserve"> Eigenmittel der Kirchengemeinde </w:t>
      </w:r>
      <w:r w:rsidR="00E629FA" w:rsidRPr="00C61E38">
        <w:rPr>
          <w:lang w:eastAsia="de-DE"/>
        </w:rPr>
        <w:t xml:space="preserve">und sind nicht als Drittmittel eines weiteren Fördermittelgebers </w:t>
      </w:r>
      <w:r w:rsidR="001E474A" w:rsidRPr="00C61E38">
        <w:rPr>
          <w:lang w:eastAsia="de-DE"/>
        </w:rPr>
        <w:t xml:space="preserve">in den staatlichen Förderanträgen </w:t>
      </w:r>
      <w:r w:rsidRPr="00C61E38">
        <w:rPr>
          <w:lang w:eastAsia="de-DE"/>
        </w:rPr>
        <w:t>an</w:t>
      </w:r>
      <w:r w:rsidR="00E629FA" w:rsidRPr="00C61E38">
        <w:rPr>
          <w:lang w:eastAsia="de-DE"/>
        </w:rPr>
        <w:t>zu</w:t>
      </w:r>
      <w:r w:rsidRPr="00C61E38">
        <w:rPr>
          <w:lang w:eastAsia="de-DE"/>
        </w:rPr>
        <w:t>geben</w:t>
      </w:r>
      <w:r w:rsidR="00E629FA" w:rsidRPr="00C61E38">
        <w:rPr>
          <w:lang w:eastAsia="de-DE"/>
        </w:rPr>
        <w:t xml:space="preserve"> (siehe Punkt 1., 2. Absatz).</w:t>
      </w:r>
      <w:bookmarkEnd w:id="37"/>
    </w:p>
    <w:p w14:paraId="2EAD2758" w14:textId="7B29DCC4" w:rsidR="00B325D2" w:rsidRPr="00C61E38" w:rsidRDefault="00D51C7F" w:rsidP="00C61E38">
      <w:pPr>
        <w:numPr>
          <w:ilvl w:val="1"/>
          <w:numId w:val="3"/>
        </w:numPr>
        <w:rPr>
          <w:lang w:eastAsia="de-DE"/>
        </w:rPr>
      </w:pPr>
      <w:r w:rsidRPr="00C61E38">
        <w:rPr>
          <w:lang w:eastAsia="de-DE"/>
        </w:rPr>
        <w:t xml:space="preserve">Zuschüsse und Darlehen, die über öffentliche Förderprogramme gewährt werden, führen nicht zu einer Reduzierung der Zuschusshöhe des Kirchenkreises, wenn insgesamt die Einnahmen aus allen Zuschüssen die veranschlagten Sanierungskosten nicht </w:t>
      </w:r>
      <w:r w:rsidR="001E474A" w:rsidRPr="00C61E38">
        <w:rPr>
          <w:lang w:eastAsia="de-DE"/>
        </w:rPr>
        <w:t>übersteigen.</w:t>
      </w:r>
    </w:p>
    <w:p w14:paraId="3683E6DB" w14:textId="0466E098" w:rsidR="003F4EAD" w:rsidRPr="00C61E38" w:rsidRDefault="00D675B9" w:rsidP="00C61E38">
      <w:pPr>
        <w:numPr>
          <w:ilvl w:val="1"/>
          <w:numId w:val="3"/>
        </w:numPr>
        <w:rPr>
          <w:lang w:eastAsia="de-DE"/>
        </w:rPr>
      </w:pPr>
      <w:r w:rsidRPr="00C61E38">
        <w:rPr>
          <w:lang w:eastAsia="de-DE"/>
        </w:rPr>
        <w:t xml:space="preserve">Für energetische Sanierungsmaßnahmen in </w:t>
      </w:r>
      <w:r w:rsidRPr="00C61E38">
        <w:t>Pfarrdienstwohnungen und an Pfarrhäusern mit Pfarrdienstwohnungen</w:t>
      </w:r>
      <w:r w:rsidRPr="00C61E38">
        <w:rPr>
          <w:lang w:eastAsia="de-DE"/>
        </w:rPr>
        <w:t>, die aufgrund der laufenden Strukturüberlegungen des Kirchenkreises in den nächsten zehn Jahren den Dienstsitz verlieren</w:t>
      </w:r>
      <w:r w:rsidR="001E474A" w:rsidRPr="00C61E38">
        <w:rPr>
          <w:lang w:eastAsia="de-DE"/>
        </w:rPr>
        <w:t xml:space="preserve"> sollen</w:t>
      </w:r>
      <w:r w:rsidRPr="00C61E38">
        <w:rPr>
          <w:lang w:eastAsia="de-DE"/>
        </w:rPr>
        <w:t xml:space="preserve">, </w:t>
      </w:r>
      <w:r w:rsidR="003F4EAD" w:rsidRPr="00C61E38">
        <w:rPr>
          <w:lang w:eastAsia="de-DE"/>
        </w:rPr>
        <w:t>gilt folgende Regelung:</w:t>
      </w:r>
    </w:p>
    <w:p w14:paraId="1B6FCB02" w14:textId="1EEFF042" w:rsidR="003259D3" w:rsidRPr="00C61E38" w:rsidRDefault="003F4EAD" w:rsidP="00C61E38">
      <w:pPr>
        <w:numPr>
          <w:ilvl w:val="0"/>
          <w:numId w:val="9"/>
        </w:numPr>
        <w:ind w:left="709"/>
        <w:rPr>
          <w:lang w:eastAsia="de-DE"/>
        </w:rPr>
      </w:pPr>
      <w:r w:rsidRPr="00C61E38">
        <w:rPr>
          <w:lang w:eastAsia="de-DE"/>
        </w:rPr>
        <w:t>Es werden ausschließlich Darlehen gewährt, die für die Dauer der Nutzung als Pfarrhaus oder Pfarrdienstwohnung zins- und tilgungslose gestellt sind.</w:t>
      </w:r>
    </w:p>
    <w:p w14:paraId="63D799D5" w14:textId="77777777" w:rsidR="00F732BD" w:rsidRPr="00C61E38" w:rsidRDefault="00947BB5" w:rsidP="00C61E38">
      <w:pPr>
        <w:numPr>
          <w:ilvl w:val="0"/>
          <w:numId w:val="9"/>
        </w:numPr>
        <w:ind w:left="709"/>
        <w:rPr>
          <w:lang w:eastAsia="de-DE"/>
        </w:rPr>
      </w:pPr>
      <w:r w:rsidRPr="00C61E38">
        <w:rPr>
          <w:lang w:eastAsia="de-DE"/>
        </w:rPr>
        <w:t xml:space="preserve">Bei Wegfall des Dienstsitzes </w:t>
      </w:r>
      <w:r w:rsidR="00C10519" w:rsidRPr="00C61E38">
        <w:rPr>
          <w:lang w:eastAsia="de-DE"/>
        </w:rPr>
        <w:t xml:space="preserve">wird </w:t>
      </w:r>
      <w:r w:rsidR="00F732BD" w:rsidRPr="00C61E38">
        <w:rPr>
          <w:lang w:eastAsia="de-DE"/>
        </w:rPr>
        <w:t>zum Zeitpunkt des Wegfalls auf folgende Weise der Restwert der durchgeführten energetischen Sanierungsmaßnahme festgestellt:</w:t>
      </w:r>
    </w:p>
    <w:p w14:paraId="5E235E14" w14:textId="5D4E87BA" w:rsidR="00EA4FCC" w:rsidRPr="00C61E38" w:rsidRDefault="00F732BD" w:rsidP="00C61E38">
      <w:pPr>
        <w:numPr>
          <w:ilvl w:val="2"/>
          <w:numId w:val="2"/>
        </w:numPr>
        <w:ind w:left="1276"/>
        <w:rPr>
          <w:lang w:eastAsia="de-DE"/>
        </w:rPr>
      </w:pPr>
      <w:r w:rsidRPr="00C61E38">
        <w:rPr>
          <w:lang w:eastAsia="de-DE"/>
        </w:rPr>
        <w:t>Es wird für jede durchgeführte Sanierungsmaßnahme eine Nutzungs</w:t>
      </w:r>
      <w:r w:rsidR="00EA4FCC" w:rsidRPr="00C61E38">
        <w:rPr>
          <w:lang w:eastAsia="de-DE"/>
        </w:rPr>
        <w:t xml:space="preserve">dauer von 20 Jahren unterstellt und eine lineare Abschreibung auf diese Nutzungsdauer vorgenommen (5 v.H. pro Nutzungsjahr). </w:t>
      </w:r>
    </w:p>
    <w:p w14:paraId="43CB2A2B" w14:textId="13E550AE" w:rsidR="009B2962" w:rsidRPr="00C61E38" w:rsidRDefault="00EA4FCC" w:rsidP="00C61E38">
      <w:pPr>
        <w:numPr>
          <w:ilvl w:val="2"/>
          <w:numId w:val="2"/>
        </w:numPr>
        <w:ind w:left="1276"/>
        <w:rPr>
          <w:lang w:eastAsia="de-DE"/>
        </w:rPr>
      </w:pPr>
      <w:r w:rsidRPr="00C61E38">
        <w:rPr>
          <w:lang w:eastAsia="de-DE"/>
        </w:rPr>
        <w:t>A</w:t>
      </w:r>
      <w:r w:rsidR="00C10519" w:rsidRPr="00C61E38">
        <w:rPr>
          <w:lang w:eastAsia="de-DE"/>
        </w:rPr>
        <w:t xml:space="preserve">uf </w:t>
      </w:r>
      <w:r w:rsidRPr="00C61E38">
        <w:rPr>
          <w:lang w:eastAsia="de-DE"/>
        </w:rPr>
        <w:t xml:space="preserve">der Basis der </w:t>
      </w:r>
      <w:r w:rsidR="00C10519" w:rsidRPr="00C61E38">
        <w:rPr>
          <w:lang w:eastAsia="de-DE"/>
        </w:rPr>
        <w:t xml:space="preserve">Kosten der energetischen Sanierungsmaßnahme </w:t>
      </w:r>
      <w:r w:rsidRPr="00C61E38">
        <w:rPr>
          <w:lang w:eastAsia="de-DE"/>
        </w:rPr>
        <w:t xml:space="preserve">wird so nach Punkt 1. </w:t>
      </w:r>
      <w:r w:rsidR="00C10519" w:rsidRPr="00C61E38">
        <w:rPr>
          <w:lang w:eastAsia="de-DE"/>
        </w:rPr>
        <w:t>zwischen dem Zeitpunkt des Abschlusses der Maßnahme und dem Zeitpunkt des Wegfalls des Dienstsitzes der Restwert des gewährten Darlehens ermittelt. Das bestehende Restdarlehen ist ab dem Zeitpunkt des Wegfalls des Dienstsitzes mit den marktüblichen Konditionen zu verzinsen und zu tilgen</w:t>
      </w:r>
      <w:r w:rsidR="00BA0581" w:rsidRPr="00C61E38">
        <w:rPr>
          <w:lang w:eastAsia="de-DE"/>
        </w:rPr>
        <w:t xml:space="preserve"> oder im Falle eines Verkaufs des Hauses in einer Summe zu tilgen.</w:t>
      </w:r>
    </w:p>
    <w:p w14:paraId="0AB5784F" w14:textId="625DB304" w:rsidR="003D5AF1" w:rsidRPr="00C61E38" w:rsidRDefault="00BA0581" w:rsidP="00C61E38">
      <w:pPr>
        <w:pStyle w:val="berschrift2"/>
        <w:rPr>
          <w:lang w:eastAsia="de-DE"/>
        </w:rPr>
      </w:pPr>
      <w:bookmarkStart w:id="38" w:name="_Toc466920466"/>
      <w:bookmarkStart w:id="39" w:name="_Toc466977539"/>
      <w:bookmarkStart w:id="40" w:name="_Toc466988288"/>
      <w:bookmarkStart w:id="41" w:name="_Toc466990285"/>
      <w:bookmarkStart w:id="42" w:name="_Toc466990325"/>
      <w:bookmarkStart w:id="43" w:name="_Toc468910131"/>
      <w:bookmarkStart w:id="44" w:name="_Toc468910231"/>
      <w:bookmarkStart w:id="45" w:name="_Toc468910454"/>
      <w:bookmarkStart w:id="46" w:name="_Toc115194482"/>
      <w:r w:rsidRPr="00C61E38">
        <w:rPr>
          <w:lang w:eastAsia="de-DE"/>
        </w:rPr>
        <w:t>4</w:t>
      </w:r>
      <w:r w:rsidR="00F22BC2" w:rsidRPr="00C61E38">
        <w:rPr>
          <w:lang w:eastAsia="de-DE"/>
        </w:rPr>
        <w:t xml:space="preserve">. </w:t>
      </w:r>
      <w:r w:rsidR="003D5AF1" w:rsidRPr="00C61E38">
        <w:rPr>
          <w:lang w:eastAsia="de-DE"/>
        </w:rPr>
        <w:t>Antrags-</w:t>
      </w:r>
      <w:r w:rsidR="00E414DD" w:rsidRPr="00C61E38">
        <w:rPr>
          <w:lang w:eastAsia="de-DE"/>
        </w:rPr>
        <w:t>,</w:t>
      </w:r>
      <w:r w:rsidR="003D5AF1" w:rsidRPr="00C61E38">
        <w:rPr>
          <w:lang w:eastAsia="de-DE"/>
        </w:rPr>
        <w:t xml:space="preserve"> Bearbeitungs</w:t>
      </w:r>
      <w:r w:rsidR="00E414DD" w:rsidRPr="00C61E38">
        <w:rPr>
          <w:lang w:eastAsia="de-DE"/>
        </w:rPr>
        <w:t>- und Bewilligungs</w:t>
      </w:r>
      <w:r w:rsidR="003D5AF1" w:rsidRPr="00C61E38">
        <w:rPr>
          <w:lang w:eastAsia="de-DE"/>
        </w:rPr>
        <w:t>v</w:t>
      </w:r>
      <w:r w:rsidR="00F22BC2" w:rsidRPr="00C61E38">
        <w:rPr>
          <w:lang w:eastAsia="de-DE"/>
        </w:rPr>
        <w:t>erfahren</w:t>
      </w:r>
      <w:bookmarkEnd w:id="38"/>
      <w:bookmarkEnd w:id="39"/>
      <w:bookmarkEnd w:id="40"/>
      <w:bookmarkEnd w:id="41"/>
      <w:bookmarkEnd w:id="42"/>
      <w:bookmarkEnd w:id="43"/>
      <w:bookmarkEnd w:id="44"/>
      <w:bookmarkEnd w:id="45"/>
      <w:bookmarkEnd w:id="46"/>
      <w:r w:rsidR="00E414DD" w:rsidRPr="00C61E38">
        <w:rPr>
          <w:lang w:eastAsia="de-DE"/>
        </w:rPr>
        <w:t xml:space="preserve"> </w:t>
      </w:r>
    </w:p>
    <w:p w14:paraId="03356577" w14:textId="7E4CE229" w:rsidR="00BA0581" w:rsidRPr="00C61E38" w:rsidRDefault="00F22BC2" w:rsidP="00C61E38">
      <w:pPr>
        <w:numPr>
          <w:ilvl w:val="1"/>
          <w:numId w:val="4"/>
        </w:numPr>
        <w:rPr>
          <w:b/>
        </w:rPr>
      </w:pPr>
      <w:r w:rsidRPr="00C61E38">
        <w:t xml:space="preserve">Die Kirchengemeinden reichen alle Anträge auf </w:t>
      </w:r>
      <w:r w:rsidR="00BA0581" w:rsidRPr="00C61E38">
        <w:t xml:space="preserve">einen </w:t>
      </w:r>
      <w:r w:rsidRPr="00C61E38">
        <w:t>Zuschuss</w:t>
      </w:r>
      <w:r w:rsidR="00BA0581" w:rsidRPr="00C61E38">
        <w:t xml:space="preserve"> für energetische Beratungen bzw. energetische Sanierungsmaßnahmen</w:t>
      </w:r>
      <w:r w:rsidRPr="00C61E38">
        <w:t xml:space="preserve"> aus </w:t>
      </w:r>
      <w:r w:rsidR="003D5AF1" w:rsidRPr="00C61E38">
        <w:t xml:space="preserve">dem </w:t>
      </w:r>
      <w:r w:rsidR="00BA0581" w:rsidRPr="00C61E38">
        <w:t>Struktur</w:t>
      </w:r>
      <w:r w:rsidR="006E128D" w:rsidRPr="00C61E38">
        <w:t xml:space="preserve">fonds </w:t>
      </w:r>
      <w:r w:rsidR="00BA0581" w:rsidRPr="00C61E38">
        <w:t xml:space="preserve">mit den vorgeschriebenen Anlagen </w:t>
      </w:r>
      <w:r w:rsidR="006E128D" w:rsidRPr="00C61E38">
        <w:t>beim Kirchenkreis ein.</w:t>
      </w:r>
    </w:p>
    <w:p w14:paraId="668D3B59" w14:textId="5C5A2E6E" w:rsidR="0010028B" w:rsidRPr="00C61E38" w:rsidRDefault="0010028B" w:rsidP="00C61E38">
      <w:pPr>
        <w:numPr>
          <w:ilvl w:val="1"/>
          <w:numId w:val="4"/>
        </w:numPr>
        <w:rPr>
          <w:b/>
        </w:rPr>
      </w:pPr>
      <w:r w:rsidRPr="00C61E38">
        <w:lastRenderedPageBreak/>
        <w:t xml:space="preserve">Die Superintendentin </w:t>
      </w:r>
      <w:r w:rsidR="00113004" w:rsidRPr="00C61E38">
        <w:t xml:space="preserve">/ der Superintendent </w:t>
      </w:r>
      <w:r w:rsidRPr="00C61E38">
        <w:t xml:space="preserve">gibt zu den eingereichten Anträgen jeweils eine Stellungnahme dahingehend ab, ob die beantragte Maßnahme in Übereinstimmung mit den strukturellen </w:t>
      </w:r>
      <w:r w:rsidR="006E6EC4" w:rsidRPr="00C61E38">
        <w:t>Plänen zur Pfarrstellenstruktur und zum Gebäudeplan des Kirchenkreises steht.</w:t>
      </w:r>
    </w:p>
    <w:p w14:paraId="7CE36CF8" w14:textId="239DD293" w:rsidR="006E6EC4" w:rsidRPr="00C61E38" w:rsidRDefault="003D5AF1" w:rsidP="00C61E38">
      <w:pPr>
        <w:numPr>
          <w:ilvl w:val="1"/>
          <w:numId w:val="4"/>
        </w:numPr>
        <w:rPr>
          <w:b/>
        </w:rPr>
      </w:pPr>
      <w:r w:rsidRPr="00C61E38">
        <w:t xml:space="preserve">Die </w:t>
      </w:r>
      <w:r w:rsidR="00BA0581" w:rsidRPr="00C61E38">
        <w:t xml:space="preserve">eingegangenen </w:t>
      </w:r>
      <w:r w:rsidRPr="00C61E38">
        <w:t>Anträge</w:t>
      </w:r>
      <w:r w:rsidR="00BE2175" w:rsidRPr="00C61E38">
        <w:t xml:space="preserve"> </w:t>
      </w:r>
      <w:r w:rsidRPr="00C61E38">
        <w:t>werden durch das Kreiskirchenamt</w:t>
      </w:r>
      <w:r w:rsidR="00F22BC2" w:rsidRPr="00C61E38">
        <w:t xml:space="preserve"> aufgelistet und di</w:t>
      </w:r>
      <w:r w:rsidR="00822E83" w:rsidRPr="00C61E38">
        <w:t>ese Liste</w:t>
      </w:r>
      <w:r w:rsidR="00BE2175" w:rsidRPr="00C61E38">
        <w:t xml:space="preserve"> </w:t>
      </w:r>
      <w:r w:rsidR="00BA0581" w:rsidRPr="00C61E38">
        <w:t>dem Bauausschuss zu seiner</w:t>
      </w:r>
      <w:r w:rsidR="00BE2175" w:rsidRPr="00C61E38">
        <w:t xml:space="preserve"> </w:t>
      </w:r>
      <w:r w:rsidR="00BA0581" w:rsidRPr="00C61E38">
        <w:t xml:space="preserve">nächsten </w:t>
      </w:r>
      <w:r w:rsidR="00BE2175" w:rsidRPr="00C61E38">
        <w:t xml:space="preserve">Sitzung </w:t>
      </w:r>
      <w:r w:rsidR="0010028B" w:rsidRPr="00C61E38">
        <w:t xml:space="preserve">zur Beratung </w:t>
      </w:r>
      <w:r w:rsidR="006E6EC4" w:rsidRPr="00C61E38">
        <w:t xml:space="preserve">und </w:t>
      </w:r>
      <w:r w:rsidR="00C43755" w:rsidRPr="00C61E38">
        <w:t xml:space="preserve">der Erarbeitung eines </w:t>
      </w:r>
      <w:r w:rsidR="006E6EC4" w:rsidRPr="00C61E38">
        <w:t>Beschluss</w:t>
      </w:r>
      <w:r w:rsidR="00C43755" w:rsidRPr="00C61E38">
        <w:t>vorschlags über die Vergabe der Mittel</w:t>
      </w:r>
      <w:r w:rsidR="001E474A" w:rsidRPr="00C61E38">
        <w:t xml:space="preserve"> zugeleitet</w:t>
      </w:r>
      <w:r w:rsidR="00C43755" w:rsidRPr="00C61E38">
        <w:t>. Er fasst hierzu einen Beschluss als Vorschlag für den Kreiskirchenrat.</w:t>
      </w:r>
    </w:p>
    <w:p w14:paraId="608B6AED" w14:textId="7559F539" w:rsidR="002C3296" w:rsidRPr="00C61E38" w:rsidRDefault="0010028B" w:rsidP="00C61E38">
      <w:pPr>
        <w:numPr>
          <w:ilvl w:val="1"/>
          <w:numId w:val="4"/>
        </w:numPr>
        <w:rPr>
          <w:b/>
        </w:rPr>
      </w:pPr>
      <w:r w:rsidRPr="00C61E38">
        <w:t xml:space="preserve">Für den Fall, dass aufgrund einer hohen Anzahl an Zuschussanträgen und eines begrenzten Bestandes finanzieller </w:t>
      </w:r>
      <w:r w:rsidR="006E6EC4" w:rsidRPr="00C61E38">
        <w:t>Mittel im Sonderfonds des Strukturfonds</w:t>
      </w:r>
      <w:r w:rsidR="00F22BC2" w:rsidRPr="00C61E38">
        <w:t xml:space="preserve"> Prioritäten </w:t>
      </w:r>
      <w:r w:rsidR="006E6EC4" w:rsidRPr="00C61E38">
        <w:t>über die Vergabe der Zuschussmittel festgelegt werden müssen, erarbeitet d</w:t>
      </w:r>
      <w:r w:rsidR="00F22BC2" w:rsidRPr="00C61E38">
        <w:t xml:space="preserve">er Bauausschuss </w:t>
      </w:r>
      <w:r w:rsidR="003D5AF1" w:rsidRPr="00C61E38">
        <w:t>einen Vorschlag über die Reihenfolge der zu fördernden Vorhaben</w:t>
      </w:r>
      <w:r w:rsidR="006E6EC4" w:rsidRPr="00C61E38">
        <w:t>.</w:t>
      </w:r>
      <w:r w:rsidR="003D5AF1" w:rsidRPr="00C61E38">
        <w:t xml:space="preserve"> </w:t>
      </w:r>
      <w:r w:rsidR="00F22BC2" w:rsidRPr="00C61E38">
        <w:t xml:space="preserve">Die Prioritätenliste </w:t>
      </w:r>
      <w:r w:rsidR="00113004" w:rsidRPr="00C61E38">
        <w:t xml:space="preserve">mit einer Begründung über die Festlegung der Reihenfolge der festgelegten Fördermaßnahmen </w:t>
      </w:r>
      <w:r w:rsidR="00F22BC2" w:rsidRPr="00C61E38">
        <w:t xml:space="preserve">wird dem Kreiskirchenrat </w:t>
      </w:r>
      <w:r w:rsidR="002C3296" w:rsidRPr="00C61E38">
        <w:t xml:space="preserve">vorgelegt, der diese endgültig durch Beschluss </w:t>
      </w:r>
      <w:r w:rsidR="00F22BC2" w:rsidRPr="00C61E38">
        <w:t>fest</w:t>
      </w:r>
      <w:r w:rsidR="002C3296" w:rsidRPr="00C61E38">
        <w:t>legt</w:t>
      </w:r>
      <w:r w:rsidR="00F22BC2" w:rsidRPr="00C61E38">
        <w:t>.</w:t>
      </w:r>
    </w:p>
    <w:p w14:paraId="372F166D" w14:textId="6F64639A" w:rsidR="00C43755" w:rsidRPr="00C61E38" w:rsidRDefault="00C43755" w:rsidP="00C61E38">
      <w:pPr>
        <w:numPr>
          <w:ilvl w:val="1"/>
          <w:numId w:val="4"/>
        </w:numPr>
        <w:rPr>
          <w:b/>
        </w:rPr>
      </w:pPr>
      <w:r w:rsidRPr="00C61E38">
        <w:t xml:space="preserve">Über das weitere Verwaltungsverfahren gelten die Punkte </w:t>
      </w:r>
      <w:r w:rsidR="00E41DD7" w:rsidRPr="00C61E38">
        <w:t>6.7 bis 6.14 der Richtlinie des Kirchenkreises Schleiz über die Vergabe von Mitteln des Baulastfonds entsprechend.</w:t>
      </w:r>
    </w:p>
    <w:p w14:paraId="03E0C2A7" w14:textId="2603C3EA" w:rsidR="003F2CA1" w:rsidRPr="00C61E38" w:rsidRDefault="00E41DD7" w:rsidP="00C61E38">
      <w:pPr>
        <w:pStyle w:val="berschrift2"/>
        <w:rPr>
          <w:lang w:eastAsia="de-DE"/>
        </w:rPr>
      </w:pPr>
      <w:bookmarkStart w:id="47" w:name="_Toc466920467"/>
      <w:bookmarkStart w:id="48" w:name="_Toc466977540"/>
      <w:bookmarkStart w:id="49" w:name="_Toc466988289"/>
      <w:bookmarkStart w:id="50" w:name="_Toc466990286"/>
      <w:bookmarkStart w:id="51" w:name="_Toc466990326"/>
      <w:bookmarkStart w:id="52" w:name="_Toc468910132"/>
      <w:bookmarkStart w:id="53" w:name="_Toc468910232"/>
      <w:bookmarkStart w:id="54" w:name="_Toc468910455"/>
      <w:bookmarkStart w:id="55" w:name="_Toc115194483"/>
      <w:r w:rsidRPr="00C61E38">
        <w:rPr>
          <w:lang w:eastAsia="de-DE"/>
        </w:rPr>
        <w:t>5</w:t>
      </w:r>
      <w:r w:rsidR="003F2CA1" w:rsidRPr="00C61E38">
        <w:rPr>
          <w:lang w:eastAsia="de-DE"/>
        </w:rPr>
        <w:t xml:space="preserve">. </w:t>
      </w:r>
      <w:r w:rsidR="00F45C32" w:rsidRPr="00C61E38">
        <w:rPr>
          <w:lang w:eastAsia="de-DE"/>
        </w:rPr>
        <w:t>In-Kraft-Treten</w:t>
      </w:r>
      <w:bookmarkEnd w:id="47"/>
      <w:bookmarkEnd w:id="48"/>
      <w:bookmarkEnd w:id="49"/>
      <w:bookmarkEnd w:id="50"/>
      <w:bookmarkEnd w:id="51"/>
      <w:bookmarkEnd w:id="52"/>
      <w:bookmarkEnd w:id="53"/>
      <w:bookmarkEnd w:id="54"/>
      <w:bookmarkEnd w:id="55"/>
      <w:r w:rsidR="00F45C32" w:rsidRPr="00C61E38">
        <w:rPr>
          <w:lang w:eastAsia="de-DE"/>
        </w:rPr>
        <w:t xml:space="preserve"> </w:t>
      </w:r>
    </w:p>
    <w:p w14:paraId="60982FF2" w14:textId="598D7C66" w:rsidR="00F45C32" w:rsidRPr="00C61E38" w:rsidRDefault="00F45C32" w:rsidP="00C61E38">
      <w:pPr>
        <w:rPr>
          <w:lang w:eastAsia="de-DE"/>
        </w:rPr>
      </w:pPr>
      <w:r w:rsidRPr="00C61E38">
        <w:rPr>
          <w:lang w:eastAsia="de-DE"/>
        </w:rPr>
        <w:t>Diese</w:t>
      </w:r>
      <w:r w:rsidR="003F2CA1" w:rsidRPr="00C61E38">
        <w:rPr>
          <w:lang w:eastAsia="de-DE"/>
        </w:rPr>
        <w:t xml:space="preserve"> </w:t>
      </w:r>
      <w:r w:rsidR="00F13C45" w:rsidRPr="00C61E38">
        <w:rPr>
          <w:lang w:eastAsia="de-DE"/>
        </w:rPr>
        <w:t xml:space="preserve">Richtlinie tritt am </w:t>
      </w:r>
      <w:r w:rsidR="004573AB" w:rsidRPr="00C61E38">
        <w:rPr>
          <w:lang w:eastAsia="de-DE"/>
        </w:rPr>
        <w:t>1. Januar 202</w:t>
      </w:r>
      <w:r w:rsidR="00E41DD7" w:rsidRPr="00C61E38">
        <w:rPr>
          <w:lang w:eastAsia="de-DE"/>
        </w:rPr>
        <w:t>3</w:t>
      </w:r>
      <w:r w:rsidR="004573AB" w:rsidRPr="00C61E38">
        <w:rPr>
          <w:lang w:eastAsia="de-DE"/>
        </w:rPr>
        <w:t xml:space="preserve"> </w:t>
      </w:r>
      <w:r w:rsidRPr="00C61E38">
        <w:rPr>
          <w:lang w:eastAsia="de-DE"/>
        </w:rPr>
        <w:t>in Kraft</w:t>
      </w:r>
      <w:r w:rsidR="003F2CA1" w:rsidRPr="00C61E38">
        <w:rPr>
          <w:lang w:eastAsia="de-DE"/>
        </w:rPr>
        <w:t xml:space="preserve">. </w:t>
      </w:r>
    </w:p>
    <w:p w14:paraId="4974485B" w14:textId="77777777" w:rsidR="003F2CA1" w:rsidRPr="00C61E38" w:rsidRDefault="003F2CA1" w:rsidP="00C61E38">
      <w:pPr>
        <w:rPr>
          <w:lang w:eastAsia="de-DE"/>
        </w:rPr>
      </w:pPr>
    </w:p>
    <w:p w14:paraId="0D08A50D" w14:textId="31AA1C82" w:rsidR="003F2CA1" w:rsidRPr="00C61E38" w:rsidRDefault="003F2CA1" w:rsidP="00C61E38">
      <w:pPr>
        <w:rPr>
          <w:lang w:eastAsia="de-DE"/>
        </w:rPr>
      </w:pPr>
      <w:r w:rsidRPr="00C61E38">
        <w:rPr>
          <w:lang w:eastAsia="de-DE"/>
        </w:rPr>
        <w:t>Schleiz, den</w:t>
      </w:r>
      <w:r w:rsidR="00441FA8">
        <w:rPr>
          <w:lang w:eastAsia="de-DE"/>
        </w:rPr>
        <w:t xml:space="preserve"> 5. Dezember 2022</w:t>
      </w:r>
    </w:p>
    <w:p w14:paraId="1FB09CF8" w14:textId="5F54D33D" w:rsidR="003F2CA1" w:rsidRPr="00C61E38" w:rsidRDefault="003F2CA1" w:rsidP="00C61E38">
      <w:pPr>
        <w:rPr>
          <w:lang w:eastAsia="de-DE"/>
        </w:rPr>
      </w:pPr>
    </w:p>
    <w:p w14:paraId="351F91FE" w14:textId="77777777" w:rsidR="00EA4FCC" w:rsidRPr="00C61E38" w:rsidRDefault="00EA4FCC" w:rsidP="00C61E38">
      <w:pPr>
        <w:rPr>
          <w:lang w:eastAsia="de-DE"/>
        </w:rPr>
      </w:pPr>
    </w:p>
    <w:p w14:paraId="1056C480" w14:textId="77777777" w:rsidR="003F2CA1" w:rsidRPr="00C61E38" w:rsidRDefault="00670FB1" w:rsidP="00C61E38">
      <w:pPr>
        <w:rPr>
          <w:lang w:eastAsia="de-DE"/>
        </w:rPr>
      </w:pPr>
      <w:r w:rsidRPr="00C61E38">
        <w:rPr>
          <w:lang w:eastAsia="de-DE"/>
        </w:rPr>
        <w:t>Killinger-Schlecht</w:t>
      </w:r>
    </w:p>
    <w:p w14:paraId="35526677" w14:textId="50FB1D3C" w:rsidR="00F058EB" w:rsidRDefault="003F2CA1" w:rsidP="00C61E38">
      <w:pPr>
        <w:rPr>
          <w:lang w:eastAsia="de-DE"/>
        </w:rPr>
      </w:pPr>
      <w:r w:rsidRPr="00C61E38">
        <w:rPr>
          <w:lang w:eastAsia="de-DE"/>
        </w:rPr>
        <w:t>Superintendent</w:t>
      </w:r>
      <w:r w:rsidR="00670FB1" w:rsidRPr="00C61E38">
        <w:rPr>
          <w:lang w:eastAsia="de-DE"/>
        </w:rPr>
        <w:t>in</w:t>
      </w:r>
    </w:p>
    <w:sectPr w:rsidR="00F058EB">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8560" w14:textId="77777777" w:rsidR="0005254D" w:rsidRDefault="0005254D" w:rsidP="00AA4EFC">
      <w:r>
        <w:separator/>
      </w:r>
    </w:p>
  </w:endnote>
  <w:endnote w:type="continuationSeparator" w:id="0">
    <w:p w14:paraId="0EC92FD8" w14:textId="77777777" w:rsidR="0005254D" w:rsidRDefault="0005254D" w:rsidP="00A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9670"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3971163" w14:textId="77777777" w:rsidR="00C349A3" w:rsidRDefault="00C349A3" w:rsidP="003053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3F6"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025F5">
      <w:rPr>
        <w:rStyle w:val="Seitenzahl"/>
        <w:noProof/>
      </w:rPr>
      <w:t>5</w:t>
    </w:r>
    <w:r>
      <w:rPr>
        <w:rStyle w:val="Seitenzahl"/>
      </w:rPr>
      <w:fldChar w:fldCharType="end"/>
    </w:r>
  </w:p>
  <w:p w14:paraId="32980D47" w14:textId="77777777" w:rsidR="00C349A3" w:rsidRDefault="00C349A3" w:rsidP="0030531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F8D3" w14:textId="77777777" w:rsidR="0005254D" w:rsidRDefault="0005254D" w:rsidP="00AA4EFC">
      <w:r>
        <w:separator/>
      </w:r>
    </w:p>
  </w:footnote>
  <w:footnote w:type="continuationSeparator" w:id="0">
    <w:p w14:paraId="2CF29493" w14:textId="77777777" w:rsidR="0005254D" w:rsidRDefault="0005254D" w:rsidP="00AA4EFC">
      <w:r>
        <w:continuationSeparator/>
      </w:r>
    </w:p>
  </w:footnote>
  <w:footnote w:id="1">
    <w:p w14:paraId="6EABEC31" w14:textId="40FCE96F" w:rsidR="00BE0F14" w:rsidRDefault="00BE0F14">
      <w:pPr>
        <w:pStyle w:val="Funotentext"/>
      </w:pPr>
      <w:r>
        <w:rPr>
          <w:rStyle w:val="Funotenzeichen"/>
        </w:rPr>
        <w:footnoteRef/>
      </w:r>
      <w:r>
        <w:t xml:space="preserve"> </w:t>
      </w:r>
      <w:r>
        <w:rPr>
          <w:rFonts w:ascii="Arial Narrow" w:hAnsi="Arial Narrow"/>
          <w:sz w:val="18"/>
          <w:szCs w:val="18"/>
        </w:rPr>
        <w:t>Z</w:t>
      </w:r>
      <w:r w:rsidRPr="00570F79">
        <w:rPr>
          <w:rFonts w:ascii="Arial Narrow" w:hAnsi="Arial Narrow"/>
          <w:sz w:val="18"/>
          <w:szCs w:val="18"/>
        </w:rPr>
        <w:t xml:space="preserve">u </w:t>
      </w:r>
      <w:r>
        <w:rPr>
          <w:rFonts w:ascii="Arial Narrow" w:hAnsi="Arial Narrow"/>
          <w:sz w:val="18"/>
          <w:szCs w:val="18"/>
        </w:rPr>
        <w:t xml:space="preserve">finden im Internet: </w:t>
      </w:r>
      <w:hyperlink r:id="rId1" w:history="1">
        <w:r w:rsidR="00795444" w:rsidRPr="002859E4">
          <w:rPr>
            <w:rStyle w:val="Hyperlink"/>
            <w:rFonts w:ascii="Arial Narrow" w:hAnsi="Arial Narrow"/>
            <w:sz w:val="18"/>
            <w:szCs w:val="18"/>
          </w:rPr>
          <w:t>https://www.energie-effizienz-experten.de</w:t>
        </w:r>
      </w:hyperlink>
      <w:r w:rsidR="00795444">
        <w:rPr>
          <w:rFonts w:ascii="Arial Narrow" w:hAnsi="Arial Narrow"/>
          <w:sz w:val="18"/>
          <w:szCs w:val="18"/>
        </w:rPr>
        <w:t>, eine Aufstellung zugelassener Berater aus dem Gebiet sind als Anlage beigefügt.</w:t>
      </w:r>
    </w:p>
  </w:footnote>
  <w:footnote w:id="2">
    <w:p w14:paraId="188BF282" w14:textId="77777777" w:rsidR="00570F79" w:rsidRPr="00570F79" w:rsidRDefault="00F72C44" w:rsidP="00570F79">
      <w:pPr>
        <w:pStyle w:val="StandardWeb"/>
        <w:spacing w:before="0" w:beforeAutospacing="0" w:after="0" w:afterAutospacing="0"/>
        <w:rPr>
          <w:i/>
          <w:iCs/>
          <w:sz w:val="28"/>
          <w:szCs w:val="28"/>
        </w:rPr>
      </w:pPr>
      <w:r>
        <w:rPr>
          <w:rStyle w:val="Funotenzeichen"/>
        </w:rPr>
        <w:footnoteRef/>
      </w:r>
      <w:r>
        <w:t xml:space="preserve"> </w:t>
      </w:r>
      <w:r w:rsidR="00570F79" w:rsidRPr="00570F79">
        <w:rPr>
          <w:rFonts w:ascii="Arial Narrow" w:hAnsi="Arial Narrow"/>
          <w:sz w:val="18"/>
          <w:szCs w:val="18"/>
        </w:rPr>
        <w:t>Auszug Homepage der BAFA:</w:t>
      </w:r>
      <w:r w:rsidR="00570F79" w:rsidRPr="00570F79">
        <w:rPr>
          <w:rFonts w:ascii="Arial Narrow" w:hAnsi="Arial Narrow"/>
          <w:sz w:val="16"/>
          <w:szCs w:val="16"/>
        </w:rPr>
        <w:t xml:space="preserve"> </w:t>
      </w:r>
      <w:r w:rsidR="00570F79" w:rsidRPr="00570F79">
        <w:rPr>
          <w:rFonts w:ascii="Arial Narrow" w:hAnsi="Arial Narrow"/>
          <w:i/>
          <w:iCs/>
          <w:sz w:val="18"/>
          <w:szCs w:val="18"/>
        </w:rPr>
        <w:t>„</w:t>
      </w:r>
      <w:r w:rsidRPr="00570F79">
        <w:rPr>
          <w:rFonts w:ascii="Arial Narrow" w:hAnsi="Arial Narrow"/>
          <w:i/>
          <w:iCs/>
          <w:sz w:val="18"/>
          <w:szCs w:val="18"/>
        </w:rPr>
        <w:t>Maßnahmen, die dazu dienen sollen, den Energieverbrauch zu minimieren, können sein: Außenwanddämmung, Dachdämmung, Perimeterdämmung (Dämmung der Keller-Außenwände), Fenstersanierung, Heizungssanierung (Niedertemperaturkessel, Brennwertkessel, Mikro-KWK, Wärmepumpenheizung, Strahlungsheizung)</w:t>
      </w:r>
      <w:r w:rsidR="00570F79" w:rsidRPr="00570F79">
        <w:rPr>
          <w:rFonts w:ascii="Arial Narrow" w:hAnsi="Arial Narrow"/>
          <w:i/>
          <w:iCs/>
          <w:sz w:val="18"/>
          <w:szCs w:val="18"/>
        </w:rPr>
        <w:t xml:space="preserve">, </w:t>
      </w:r>
      <w:r w:rsidRPr="00570F79">
        <w:rPr>
          <w:rFonts w:ascii="Arial Narrow" w:hAnsi="Arial Narrow"/>
          <w:i/>
          <w:iCs/>
          <w:sz w:val="18"/>
          <w:szCs w:val="18"/>
        </w:rPr>
        <w:t>Kellerdeckendämmung</w:t>
      </w:r>
      <w:r w:rsidR="00570F79" w:rsidRPr="00570F79">
        <w:rPr>
          <w:rFonts w:ascii="Arial Narrow" w:hAnsi="Arial Narrow"/>
          <w:i/>
          <w:iCs/>
          <w:sz w:val="18"/>
          <w:szCs w:val="18"/>
        </w:rPr>
        <w:t xml:space="preserve">, </w:t>
      </w:r>
      <w:r w:rsidRPr="00570F79">
        <w:rPr>
          <w:rFonts w:ascii="Arial Narrow" w:hAnsi="Arial Narrow"/>
          <w:i/>
          <w:iCs/>
          <w:sz w:val="18"/>
          <w:szCs w:val="18"/>
        </w:rPr>
        <w:t>Solarthermie zur Warmwasser- und/oder Heizungsunterstützung</w:t>
      </w:r>
      <w:r w:rsidR="00570F79" w:rsidRPr="00570F79">
        <w:rPr>
          <w:rFonts w:ascii="Arial Narrow" w:hAnsi="Arial Narrow"/>
          <w:i/>
          <w:iCs/>
          <w:sz w:val="18"/>
          <w:szCs w:val="18"/>
        </w:rPr>
        <w:t xml:space="preserve">, </w:t>
      </w:r>
      <w:r w:rsidRPr="00570F79">
        <w:rPr>
          <w:rFonts w:ascii="Arial Narrow" w:hAnsi="Arial Narrow"/>
          <w:i/>
          <w:iCs/>
          <w:sz w:val="18"/>
          <w:szCs w:val="18"/>
        </w:rPr>
        <w:t>Lüftungsanlagen mit Wärmerückgewinnung (Kontrollierte Wohnraumlüftung)</w:t>
      </w:r>
      <w:r w:rsidR="00570F79" w:rsidRPr="00570F79">
        <w:rPr>
          <w:rFonts w:ascii="Arial Narrow" w:hAnsi="Arial Narrow"/>
          <w:i/>
          <w:iCs/>
          <w:sz w:val="18"/>
          <w:szCs w:val="18"/>
        </w:rPr>
        <w:t>.</w:t>
      </w:r>
    </w:p>
    <w:p w14:paraId="05254B72" w14:textId="56626A11" w:rsidR="00F72C44" w:rsidRPr="00570F79" w:rsidRDefault="00F72C44" w:rsidP="00570F79">
      <w:pPr>
        <w:pStyle w:val="StandardWeb"/>
        <w:spacing w:before="0" w:beforeAutospacing="0" w:after="0" w:afterAutospacing="0"/>
        <w:rPr>
          <w:i/>
          <w:iCs/>
          <w:sz w:val="28"/>
          <w:szCs w:val="28"/>
        </w:rPr>
      </w:pPr>
      <w:r w:rsidRPr="00570F79">
        <w:rPr>
          <w:rFonts w:ascii="Arial Narrow" w:hAnsi="Arial Narrow"/>
          <w:i/>
          <w:iCs/>
          <w:sz w:val="18"/>
          <w:szCs w:val="18"/>
        </w:rPr>
        <w:t xml:space="preserve">Ein Haus sollte bei einer energetischen Sanierung immer als Ganzes betrachtet werden, um Bauschäden zu vermeiden und um zu erkennen, welche Maßnahmen das beste Kosten-Nutzen-Verhältnis haben. Viele Maßnahmen sind kombinierbar; es empfiehlt sich, vor Beginn einer energetischen Sanierung einen Energieberater hinzuzuziehen, um für das jeweilige Gebäude ein optimales Maßnahmenbündel zu finden. </w:t>
      </w:r>
    </w:p>
    <w:p w14:paraId="637B8FD0" w14:textId="072401A4" w:rsidR="00F72C44" w:rsidRPr="00570F79" w:rsidRDefault="00F72C44" w:rsidP="00570F79">
      <w:pPr>
        <w:pStyle w:val="StandardWeb"/>
        <w:spacing w:before="0" w:beforeAutospacing="0" w:after="0" w:afterAutospacing="0"/>
        <w:rPr>
          <w:rFonts w:ascii="Arial Narrow" w:hAnsi="Arial Narrow"/>
          <w:sz w:val="16"/>
          <w:szCs w:val="16"/>
        </w:rPr>
      </w:pPr>
      <w:r w:rsidRPr="00570F79">
        <w:rPr>
          <w:rFonts w:ascii="Arial Narrow" w:hAnsi="Arial Narrow"/>
          <w:i/>
          <w:iCs/>
          <w:sz w:val="18"/>
          <w:szCs w:val="18"/>
        </w:rPr>
        <w:t>Der seit 2008 für die meisten Gebäudetypen bei Verkauf und Neuvermietung vorgeschriebene EnEV-Energieausweis (Gebäudeenergiepass) kann eine hilfreiche Entscheidungsgrundlage für eine energetische Sanierung sein.</w:t>
      </w:r>
      <w:r w:rsidR="00570F79" w:rsidRPr="00570F79">
        <w:rPr>
          <w:rFonts w:ascii="Arial Narrow" w:hAnsi="Arial Narrow"/>
          <w:i/>
          <w:iCs/>
          <w:sz w:val="18"/>
          <w:szCs w:val="18"/>
        </w:rPr>
        <w:t>“</w:t>
      </w:r>
    </w:p>
  </w:footnote>
  <w:footnote w:id="3">
    <w:p w14:paraId="2B82B35D" w14:textId="77777777" w:rsidR="003D1790" w:rsidRPr="00570F79" w:rsidRDefault="003D1790" w:rsidP="003D1790">
      <w:pPr>
        <w:pStyle w:val="Funotentext"/>
        <w:rPr>
          <w:rFonts w:ascii="Arial Narrow" w:hAnsi="Arial Narrow"/>
          <w:sz w:val="18"/>
          <w:szCs w:val="18"/>
        </w:rPr>
      </w:pPr>
      <w:r w:rsidRPr="00570F79">
        <w:rPr>
          <w:rStyle w:val="Funotenzeichen"/>
          <w:rFonts w:ascii="Arial Narrow" w:hAnsi="Arial Narrow"/>
          <w:sz w:val="18"/>
          <w:szCs w:val="18"/>
        </w:rPr>
        <w:footnoteRef/>
      </w:r>
      <w:r w:rsidRPr="00570F79">
        <w:rPr>
          <w:rFonts w:ascii="Arial Narrow" w:hAnsi="Arial Narrow"/>
          <w:sz w:val="18"/>
          <w:szCs w:val="18"/>
        </w:rPr>
        <w:t xml:space="preserve"> Gemäß § 2 Pfarrdienstwohnungsverordnung.</w:t>
      </w:r>
    </w:p>
  </w:footnote>
  <w:footnote w:id="4">
    <w:p w14:paraId="2BE28731" w14:textId="2DE27875" w:rsidR="00CD1BEA" w:rsidRDefault="00CD1BEA">
      <w:pPr>
        <w:pStyle w:val="Funotentext"/>
      </w:pPr>
      <w:r w:rsidRPr="00C61E38">
        <w:rPr>
          <w:rStyle w:val="Funotenzeichen"/>
        </w:rPr>
        <w:footnoteRef/>
      </w:r>
      <w:r w:rsidRPr="00C61E38">
        <w:t xml:space="preserve"> </w:t>
      </w:r>
      <w:r w:rsidRPr="00C61E38">
        <w:rPr>
          <w:rFonts w:ascii="Arial Narrow" w:hAnsi="Arial Narrow"/>
          <w:sz w:val="18"/>
          <w:szCs w:val="18"/>
        </w:rPr>
        <w:t xml:space="preserve">Gemeindehäuser und Gemeindezentren im Sinne dieser Richtlinie sind eigenständige Gebäude im Eigentum einer Kirchengemeinde im Kirchenkreis Schleiz, in deren Räumen </w:t>
      </w:r>
      <w:r w:rsidR="00AF1209" w:rsidRPr="00C61E38">
        <w:rPr>
          <w:rFonts w:ascii="Arial Narrow" w:hAnsi="Arial Narrow"/>
          <w:sz w:val="18"/>
          <w:szCs w:val="18"/>
        </w:rPr>
        <w:t xml:space="preserve">Gemeindearbeit </w:t>
      </w:r>
      <w:r w:rsidR="00B01D1C" w:rsidRPr="00C61E38">
        <w:rPr>
          <w:rFonts w:ascii="Arial Narrow" w:hAnsi="Arial Narrow"/>
          <w:sz w:val="18"/>
          <w:szCs w:val="18"/>
        </w:rPr>
        <w:t xml:space="preserve">zur Erfüllung des Auftrags und der Aufgaben der Kirche </w:t>
      </w:r>
      <w:r w:rsidR="00AF1209" w:rsidRPr="00C61E38">
        <w:rPr>
          <w:rFonts w:ascii="Arial Narrow" w:hAnsi="Arial Narrow"/>
          <w:sz w:val="18"/>
          <w:szCs w:val="18"/>
        </w:rPr>
        <w:t xml:space="preserve">im Sinne des </w:t>
      </w:r>
      <w:r w:rsidR="00B01D1C" w:rsidRPr="00C61E38">
        <w:rPr>
          <w:rFonts w:ascii="Arial Narrow" w:hAnsi="Arial Narrow"/>
          <w:sz w:val="18"/>
          <w:szCs w:val="18"/>
        </w:rPr>
        <w:t>Artikels 2 der Verfassung</w:t>
      </w:r>
      <w:r w:rsidR="00AF1209" w:rsidRPr="00C61E38">
        <w:rPr>
          <w:rFonts w:ascii="Arial Narrow" w:hAnsi="Arial Narrow"/>
          <w:sz w:val="18"/>
          <w:szCs w:val="18"/>
        </w:rPr>
        <w:t xml:space="preserve"> der EKM für einen Pfarrbereich oder eine Region stattfindet.</w:t>
      </w:r>
    </w:p>
  </w:footnote>
  <w:footnote w:id="5">
    <w:p w14:paraId="3A2417B3" w14:textId="77777777" w:rsidR="00B64EBC" w:rsidRDefault="00B64EBC" w:rsidP="00B64EBC">
      <w:pPr>
        <w:shd w:val="clear" w:color="auto" w:fill="FFFFFF"/>
        <w:rPr>
          <w:rFonts w:ascii="Arial Narrow" w:eastAsia="Times New Roman" w:hAnsi="Arial Narrow" w:cs="Arial"/>
          <w:i/>
          <w:color w:val="000000"/>
          <w:sz w:val="18"/>
          <w:szCs w:val="18"/>
          <w:lang w:eastAsia="de-DE"/>
        </w:rPr>
      </w:pPr>
      <w:r>
        <w:rPr>
          <w:rStyle w:val="Funotenzeichen"/>
          <w:rFonts w:ascii="Arial Narrow" w:hAnsi="Arial Narrow"/>
          <w:color w:val="000000"/>
          <w:sz w:val="18"/>
          <w:szCs w:val="18"/>
        </w:rPr>
        <w:footnoteRef/>
      </w:r>
      <w:r>
        <w:rPr>
          <w:rFonts w:ascii="Arial Narrow" w:eastAsia="Times New Roman" w:hAnsi="Arial Narrow" w:cs="Arial"/>
          <w:color w:val="000000"/>
          <w:sz w:val="18"/>
          <w:szCs w:val="18"/>
          <w:lang w:eastAsia="de-DE"/>
        </w:rPr>
        <w:t xml:space="preserve"> </w:t>
      </w:r>
      <w:r>
        <w:rPr>
          <w:rFonts w:ascii="Arial Narrow" w:eastAsia="Times New Roman" w:hAnsi="Arial Narrow" w:cs="Arial"/>
          <w:i/>
          <w:color w:val="000000"/>
          <w:sz w:val="18"/>
          <w:szCs w:val="18"/>
          <w:lang w:eastAsia="de-DE"/>
        </w:rPr>
        <w:t>„Dem Antrag sind beizufügen:</w:t>
      </w:r>
    </w:p>
    <w:p w14:paraId="15ADF67C" w14:textId="77777777" w:rsidR="00B64EBC" w:rsidRDefault="00B64EBC" w:rsidP="00B64EBC">
      <w:pPr>
        <w:numPr>
          <w:ilvl w:val="1"/>
          <w:numId w:val="1"/>
        </w:numPr>
        <w:shd w:val="clear" w:color="auto" w:fill="FFFFFF"/>
        <w:tabs>
          <w:tab w:val="clear" w:pos="1440"/>
        </w:tabs>
        <w:ind w:left="567" w:hanging="357"/>
        <w:rPr>
          <w:rFonts w:ascii="Arial Narrow" w:eastAsia="Times New Roman" w:hAnsi="Arial Narrow" w:cs="Arial"/>
          <w:i/>
          <w:color w:val="000000"/>
          <w:sz w:val="18"/>
          <w:szCs w:val="18"/>
          <w:lang w:eastAsia="de-DE"/>
        </w:rPr>
      </w:pPr>
      <w:r>
        <w:rPr>
          <w:rFonts w:ascii="Arial Narrow" w:eastAsia="Times New Roman" w:hAnsi="Arial Narrow" w:cs="Arial"/>
          <w:i/>
          <w:color w:val="000000"/>
          <w:sz w:val="18"/>
          <w:szCs w:val="18"/>
          <w:lang w:eastAsia="de-DE"/>
        </w:rPr>
        <w:t>der Beschluss der kirchlichen Körperschaften über die vorgesehene Baumaßnahme;</w:t>
      </w:r>
    </w:p>
    <w:p w14:paraId="4DD5BF53" w14:textId="77777777" w:rsidR="00B64EBC" w:rsidRDefault="00B64EBC" w:rsidP="00B64EBC">
      <w:pPr>
        <w:numPr>
          <w:ilvl w:val="1"/>
          <w:numId w:val="1"/>
        </w:numPr>
        <w:shd w:val="clear" w:color="auto" w:fill="FFFFFF"/>
        <w:tabs>
          <w:tab w:val="clear" w:pos="1440"/>
        </w:tabs>
        <w:ind w:left="567" w:hanging="357"/>
        <w:rPr>
          <w:rFonts w:ascii="Arial Narrow" w:eastAsia="Times New Roman" w:hAnsi="Arial Narrow" w:cs="Arial"/>
          <w:i/>
          <w:color w:val="000000"/>
          <w:sz w:val="18"/>
          <w:szCs w:val="18"/>
          <w:lang w:eastAsia="de-DE"/>
        </w:rPr>
      </w:pPr>
      <w:r>
        <w:rPr>
          <w:rFonts w:ascii="Arial Narrow" w:eastAsia="Times New Roman" w:hAnsi="Arial Narrow" w:cs="Arial"/>
          <w:i/>
          <w:color w:val="000000"/>
          <w:sz w:val="18"/>
          <w:szCs w:val="18"/>
          <w:lang w:eastAsia="de-DE"/>
        </w:rPr>
        <w:t>die Beschreibung der Maßnahme;</w:t>
      </w:r>
    </w:p>
    <w:p w14:paraId="1C19A98C" w14:textId="77777777" w:rsidR="00B64EBC" w:rsidRDefault="00B64EBC" w:rsidP="00B64EBC">
      <w:pPr>
        <w:numPr>
          <w:ilvl w:val="1"/>
          <w:numId w:val="1"/>
        </w:numPr>
        <w:shd w:val="clear" w:color="auto" w:fill="FFFFFF"/>
        <w:tabs>
          <w:tab w:val="clear" w:pos="1440"/>
        </w:tabs>
        <w:ind w:left="567" w:hanging="357"/>
        <w:rPr>
          <w:rFonts w:ascii="Arial Narrow" w:eastAsia="Times New Roman" w:hAnsi="Arial Narrow" w:cs="Arial"/>
          <w:i/>
          <w:color w:val="000000"/>
          <w:sz w:val="18"/>
          <w:szCs w:val="18"/>
          <w:lang w:eastAsia="de-DE"/>
        </w:rPr>
      </w:pPr>
      <w:r>
        <w:rPr>
          <w:rFonts w:ascii="Arial Narrow" w:eastAsia="Times New Roman" w:hAnsi="Arial Narrow" w:cs="Arial"/>
          <w:i/>
          <w:color w:val="000000"/>
          <w:sz w:val="18"/>
          <w:szCs w:val="18"/>
          <w:lang w:eastAsia="de-DE"/>
        </w:rPr>
        <w:t>eine qualifizierte Kostenschätzung, Kosten- und Folgekostenberechnung oder Kostenvoranschläge nach DIN 276 in der jeweils gültigen Fassung;</w:t>
      </w:r>
    </w:p>
    <w:p w14:paraId="1F8A23E6" w14:textId="77777777" w:rsidR="00B64EBC" w:rsidRDefault="00B64EBC" w:rsidP="00B64EBC">
      <w:pPr>
        <w:numPr>
          <w:ilvl w:val="1"/>
          <w:numId w:val="1"/>
        </w:numPr>
        <w:shd w:val="clear" w:color="auto" w:fill="FFFFFF"/>
        <w:tabs>
          <w:tab w:val="clear" w:pos="1440"/>
        </w:tabs>
        <w:ind w:left="567" w:hanging="357"/>
        <w:rPr>
          <w:rFonts w:ascii="Arial Narrow" w:eastAsia="Times New Roman" w:hAnsi="Arial Narrow" w:cs="Arial"/>
          <w:i/>
          <w:color w:val="000000"/>
          <w:sz w:val="18"/>
          <w:szCs w:val="18"/>
          <w:lang w:eastAsia="de-DE"/>
        </w:rPr>
      </w:pPr>
      <w:r>
        <w:rPr>
          <w:rFonts w:ascii="Arial Narrow" w:eastAsia="Times New Roman" w:hAnsi="Arial Narrow" w:cs="Arial"/>
          <w:i/>
          <w:color w:val="000000"/>
          <w:sz w:val="18"/>
          <w:szCs w:val="18"/>
          <w:lang w:eastAsia="de-DE"/>
        </w:rPr>
        <w:t>ein vom Vertretungsorgan des kirchlichen Eigentümers bestätigter Finanzierungsplan, aus dem die Höhe der Eigenmittel, der Darlehen und sonstigen Drittmittel hervorgeht;</w:t>
      </w:r>
    </w:p>
    <w:p w14:paraId="118FDF56" w14:textId="77777777" w:rsidR="00B64EBC" w:rsidRDefault="00B64EBC" w:rsidP="00B64EBC">
      <w:pPr>
        <w:numPr>
          <w:ilvl w:val="1"/>
          <w:numId w:val="1"/>
        </w:numPr>
        <w:shd w:val="clear" w:color="auto" w:fill="FFFFFF"/>
        <w:tabs>
          <w:tab w:val="clear" w:pos="1440"/>
        </w:tabs>
        <w:ind w:left="567" w:hanging="357"/>
        <w:rPr>
          <w:rFonts w:ascii="Arial Narrow" w:eastAsia="Times New Roman" w:hAnsi="Arial Narrow" w:cs="Arial"/>
          <w:i/>
          <w:color w:val="000000"/>
          <w:sz w:val="18"/>
          <w:szCs w:val="18"/>
          <w:lang w:eastAsia="de-DE"/>
        </w:rPr>
      </w:pPr>
      <w:r>
        <w:rPr>
          <w:rFonts w:ascii="Arial Narrow" w:eastAsia="Times New Roman" w:hAnsi="Arial Narrow" w:cs="Arial"/>
          <w:i/>
          <w:color w:val="000000"/>
          <w:sz w:val="18"/>
          <w:szCs w:val="18"/>
          <w:lang w:eastAsia="de-DE"/>
        </w:rPr>
        <w:t>der Entwurf des Haushaltsplanes sowie ein Vermögens- und Schuldennachweis“</w:t>
      </w:r>
    </w:p>
    <w:p w14:paraId="5777A33C" w14:textId="77777777" w:rsidR="00B64EBC" w:rsidRDefault="00B64EBC" w:rsidP="00B64EBC">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F8D"/>
    <w:multiLevelType w:val="hybridMultilevel"/>
    <w:tmpl w:val="6050308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0D360E8E"/>
    <w:multiLevelType w:val="multilevel"/>
    <w:tmpl w:val="CFB87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E1388"/>
    <w:multiLevelType w:val="multilevel"/>
    <w:tmpl w:val="1C3212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77F06"/>
    <w:multiLevelType w:val="hybridMultilevel"/>
    <w:tmpl w:val="CD3E63B2"/>
    <w:lvl w:ilvl="0" w:tplc="10C4A25E">
      <w:start w:val="1"/>
      <w:numFmt w:val="lowerLetter"/>
      <w:lvlText w:val="%1)"/>
      <w:lvlJc w:val="left"/>
      <w:pPr>
        <w:ind w:left="1080" w:hanging="360"/>
      </w:pPr>
      <w:rPr>
        <w:rFonts w:hint="default"/>
      </w:rPr>
    </w:lvl>
    <w:lvl w:ilvl="1" w:tplc="04070013">
      <w:start w:val="1"/>
      <w:numFmt w:val="upperRoman"/>
      <w:lvlText w:val="%2."/>
      <w:lvlJc w:val="right"/>
      <w:pPr>
        <w:ind w:left="1800" w:hanging="360"/>
      </w:pPr>
    </w:lvl>
    <w:lvl w:ilvl="2" w:tplc="04070019">
      <w:start w:val="1"/>
      <w:numFmt w:val="lowerLetter"/>
      <w:lvlText w:val="%3."/>
      <w:lvlJc w:val="left"/>
      <w:pPr>
        <w:ind w:left="2700" w:hanging="36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BF4EC0"/>
    <w:multiLevelType w:val="hybridMultilevel"/>
    <w:tmpl w:val="9DBCB44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7ED43D0"/>
    <w:multiLevelType w:val="multilevel"/>
    <w:tmpl w:val="8E7A4FC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8BF6DE3"/>
    <w:multiLevelType w:val="multilevel"/>
    <w:tmpl w:val="BCB63DA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232B84"/>
    <w:multiLevelType w:val="hybridMultilevel"/>
    <w:tmpl w:val="9DBCB446"/>
    <w:lvl w:ilvl="0" w:tplc="0407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751629D3"/>
    <w:multiLevelType w:val="multilevel"/>
    <w:tmpl w:val="CFB87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5049186">
    <w:abstractNumId w:val="2"/>
  </w:num>
  <w:num w:numId="2" w16cid:durableId="1721632040">
    <w:abstractNumId w:val="3"/>
  </w:num>
  <w:num w:numId="3" w16cid:durableId="139424612">
    <w:abstractNumId w:val="1"/>
  </w:num>
  <w:num w:numId="4" w16cid:durableId="1803229206">
    <w:abstractNumId w:val="5"/>
  </w:num>
  <w:num w:numId="5" w16cid:durableId="1189414677">
    <w:abstractNumId w:val="8"/>
  </w:num>
  <w:num w:numId="6" w16cid:durableId="923951609">
    <w:abstractNumId w:val="6"/>
  </w:num>
  <w:num w:numId="7" w16cid:durableId="520626551">
    <w:abstractNumId w:val="0"/>
  </w:num>
  <w:num w:numId="8" w16cid:durableId="263466585">
    <w:abstractNumId w:val="7"/>
  </w:num>
  <w:num w:numId="9" w16cid:durableId="170420806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C32"/>
    <w:rsid w:val="00032EF7"/>
    <w:rsid w:val="00047552"/>
    <w:rsid w:val="0005254D"/>
    <w:rsid w:val="0009040E"/>
    <w:rsid w:val="00097C98"/>
    <w:rsid w:val="000B337B"/>
    <w:rsid w:val="000F265F"/>
    <w:rsid w:val="0010028B"/>
    <w:rsid w:val="001025F5"/>
    <w:rsid w:val="00105596"/>
    <w:rsid w:val="00112D6B"/>
    <w:rsid w:val="00113004"/>
    <w:rsid w:val="001537BF"/>
    <w:rsid w:val="001723F2"/>
    <w:rsid w:val="00180079"/>
    <w:rsid w:val="001A4623"/>
    <w:rsid w:val="001B231B"/>
    <w:rsid w:val="001B2AF2"/>
    <w:rsid w:val="001E474A"/>
    <w:rsid w:val="001E50D5"/>
    <w:rsid w:val="002170C8"/>
    <w:rsid w:val="00226D4E"/>
    <w:rsid w:val="00233D96"/>
    <w:rsid w:val="002501AB"/>
    <w:rsid w:val="002644E0"/>
    <w:rsid w:val="0028083A"/>
    <w:rsid w:val="00294BAC"/>
    <w:rsid w:val="00294EE7"/>
    <w:rsid w:val="002B0C94"/>
    <w:rsid w:val="002C3296"/>
    <w:rsid w:val="002F3331"/>
    <w:rsid w:val="00305316"/>
    <w:rsid w:val="00313662"/>
    <w:rsid w:val="003259D3"/>
    <w:rsid w:val="00347E9D"/>
    <w:rsid w:val="00360D68"/>
    <w:rsid w:val="00390ED2"/>
    <w:rsid w:val="00396B3D"/>
    <w:rsid w:val="003B2F0E"/>
    <w:rsid w:val="003B54D0"/>
    <w:rsid w:val="003D1790"/>
    <w:rsid w:val="003D5AF1"/>
    <w:rsid w:val="003F2CA1"/>
    <w:rsid w:val="003F4A08"/>
    <w:rsid w:val="003F4EAD"/>
    <w:rsid w:val="003F58DB"/>
    <w:rsid w:val="0042722D"/>
    <w:rsid w:val="0043172D"/>
    <w:rsid w:val="0043399D"/>
    <w:rsid w:val="00441FA8"/>
    <w:rsid w:val="00446987"/>
    <w:rsid w:val="004573AB"/>
    <w:rsid w:val="004822CB"/>
    <w:rsid w:val="00497D42"/>
    <w:rsid w:val="004A7463"/>
    <w:rsid w:val="004B05B5"/>
    <w:rsid w:val="004F4F17"/>
    <w:rsid w:val="005042BA"/>
    <w:rsid w:val="00526BE2"/>
    <w:rsid w:val="00562A92"/>
    <w:rsid w:val="00570F79"/>
    <w:rsid w:val="005737C4"/>
    <w:rsid w:val="00587134"/>
    <w:rsid w:val="005C491A"/>
    <w:rsid w:val="005C4FDE"/>
    <w:rsid w:val="005E41F7"/>
    <w:rsid w:val="005F7935"/>
    <w:rsid w:val="0062486F"/>
    <w:rsid w:val="0062627A"/>
    <w:rsid w:val="0065009D"/>
    <w:rsid w:val="00663474"/>
    <w:rsid w:val="00670FB1"/>
    <w:rsid w:val="006856A5"/>
    <w:rsid w:val="006C2844"/>
    <w:rsid w:val="006D1DB3"/>
    <w:rsid w:val="006E128D"/>
    <w:rsid w:val="006E6945"/>
    <w:rsid w:val="006E6EC4"/>
    <w:rsid w:val="007544F3"/>
    <w:rsid w:val="007735EF"/>
    <w:rsid w:val="00776BEE"/>
    <w:rsid w:val="00776E86"/>
    <w:rsid w:val="00784BC9"/>
    <w:rsid w:val="00795444"/>
    <w:rsid w:val="007B1701"/>
    <w:rsid w:val="007B3770"/>
    <w:rsid w:val="007C27A6"/>
    <w:rsid w:val="007C4403"/>
    <w:rsid w:val="007D6CE3"/>
    <w:rsid w:val="007E0D5F"/>
    <w:rsid w:val="008077F5"/>
    <w:rsid w:val="0081161C"/>
    <w:rsid w:val="00813520"/>
    <w:rsid w:val="008153B5"/>
    <w:rsid w:val="00816F52"/>
    <w:rsid w:val="00822E83"/>
    <w:rsid w:val="00830528"/>
    <w:rsid w:val="00835CE2"/>
    <w:rsid w:val="0085787E"/>
    <w:rsid w:val="00860D5A"/>
    <w:rsid w:val="008C63FD"/>
    <w:rsid w:val="008D47D8"/>
    <w:rsid w:val="008E0E3A"/>
    <w:rsid w:val="0091651F"/>
    <w:rsid w:val="009408AF"/>
    <w:rsid w:val="00947BB5"/>
    <w:rsid w:val="00963EF7"/>
    <w:rsid w:val="0098435D"/>
    <w:rsid w:val="00984E12"/>
    <w:rsid w:val="009922E9"/>
    <w:rsid w:val="009B1D93"/>
    <w:rsid w:val="009B2962"/>
    <w:rsid w:val="009E396E"/>
    <w:rsid w:val="009F09A2"/>
    <w:rsid w:val="009F78A6"/>
    <w:rsid w:val="00A00B99"/>
    <w:rsid w:val="00A07A5D"/>
    <w:rsid w:val="00A2036B"/>
    <w:rsid w:val="00A249A6"/>
    <w:rsid w:val="00A41E73"/>
    <w:rsid w:val="00A74E19"/>
    <w:rsid w:val="00A83D32"/>
    <w:rsid w:val="00A856C4"/>
    <w:rsid w:val="00A93A99"/>
    <w:rsid w:val="00AA4EFC"/>
    <w:rsid w:val="00AC642E"/>
    <w:rsid w:val="00AF1209"/>
    <w:rsid w:val="00AF7B8A"/>
    <w:rsid w:val="00B01D1C"/>
    <w:rsid w:val="00B06A1C"/>
    <w:rsid w:val="00B325D2"/>
    <w:rsid w:val="00B6423B"/>
    <w:rsid w:val="00B64EBC"/>
    <w:rsid w:val="00B71E54"/>
    <w:rsid w:val="00B820AB"/>
    <w:rsid w:val="00BA0581"/>
    <w:rsid w:val="00BE0F14"/>
    <w:rsid w:val="00BE2175"/>
    <w:rsid w:val="00BF315C"/>
    <w:rsid w:val="00C10519"/>
    <w:rsid w:val="00C307BE"/>
    <w:rsid w:val="00C349A3"/>
    <w:rsid w:val="00C410CF"/>
    <w:rsid w:val="00C43755"/>
    <w:rsid w:val="00C61E38"/>
    <w:rsid w:val="00C81508"/>
    <w:rsid w:val="00C81A06"/>
    <w:rsid w:val="00C86722"/>
    <w:rsid w:val="00C9650F"/>
    <w:rsid w:val="00CA7EB4"/>
    <w:rsid w:val="00CD1BEA"/>
    <w:rsid w:val="00CD5E9D"/>
    <w:rsid w:val="00CD7B6D"/>
    <w:rsid w:val="00CD7F5D"/>
    <w:rsid w:val="00CE1DEB"/>
    <w:rsid w:val="00CF613D"/>
    <w:rsid w:val="00D31A00"/>
    <w:rsid w:val="00D34F3A"/>
    <w:rsid w:val="00D355A5"/>
    <w:rsid w:val="00D4589F"/>
    <w:rsid w:val="00D46AC9"/>
    <w:rsid w:val="00D51C7F"/>
    <w:rsid w:val="00D65350"/>
    <w:rsid w:val="00D675B9"/>
    <w:rsid w:val="00D741F5"/>
    <w:rsid w:val="00DB0CBA"/>
    <w:rsid w:val="00DC6815"/>
    <w:rsid w:val="00DD4804"/>
    <w:rsid w:val="00DD6661"/>
    <w:rsid w:val="00DE4E80"/>
    <w:rsid w:val="00E2295E"/>
    <w:rsid w:val="00E3738B"/>
    <w:rsid w:val="00E414DD"/>
    <w:rsid w:val="00E41DD7"/>
    <w:rsid w:val="00E462DE"/>
    <w:rsid w:val="00E61333"/>
    <w:rsid w:val="00E629FA"/>
    <w:rsid w:val="00E67865"/>
    <w:rsid w:val="00E67F86"/>
    <w:rsid w:val="00E81C0D"/>
    <w:rsid w:val="00E8684A"/>
    <w:rsid w:val="00EA4FCC"/>
    <w:rsid w:val="00EC332C"/>
    <w:rsid w:val="00EC5510"/>
    <w:rsid w:val="00EC7BFC"/>
    <w:rsid w:val="00ED3372"/>
    <w:rsid w:val="00F058EB"/>
    <w:rsid w:val="00F1189D"/>
    <w:rsid w:val="00F13C45"/>
    <w:rsid w:val="00F153D3"/>
    <w:rsid w:val="00F22BC2"/>
    <w:rsid w:val="00F45C32"/>
    <w:rsid w:val="00F535EA"/>
    <w:rsid w:val="00F63CDF"/>
    <w:rsid w:val="00F72C44"/>
    <w:rsid w:val="00F732BD"/>
    <w:rsid w:val="00F77544"/>
    <w:rsid w:val="00F802C4"/>
    <w:rsid w:val="00FA23AE"/>
    <w:rsid w:val="00FB6652"/>
    <w:rsid w:val="00FE1B70"/>
    <w:rsid w:val="00FE5AAF"/>
    <w:rsid w:val="00FF7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B690"/>
  <w15:chartTrackingRefBased/>
  <w15:docId w15:val="{2C065118-E0C8-47E3-82E5-3C4F848C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6C284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C284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46987"/>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07A5D"/>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C2844"/>
    <w:pPr>
      <w:spacing w:before="240" w:after="60"/>
      <w:jc w:val="center"/>
      <w:outlineLvl w:val="0"/>
    </w:pPr>
    <w:rPr>
      <w:rFonts w:ascii="Arial" w:hAnsi="Arial" w:cs="Arial"/>
      <w:b/>
      <w:bCs/>
      <w:kern w:val="28"/>
      <w:sz w:val="32"/>
      <w:szCs w:val="32"/>
    </w:rPr>
  </w:style>
  <w:style w:type="character" w:styleId="Seitenzahl">
    <w:name w:val="page number"/>
    <w:basedOn w:val="Absatz-Standardschriftart"/>
    <w:rsid w:val="00EC332C"/>
  </w:style>
  <w:style w:type="paragraph" w:styleId="Funotentext">
    <w:name w:val="footnote text"/>
    <w:basedOn w:val="Standard"/>
    <w:link w:val="FunotentextZchn"/>
    <w:uiPriority w:val="99"/>
    <w:semiHidden/>
    <w:unhideWhenUsed/>
    <w:rsid w:val="00AA4EFC"/>
    <w:rPr>
      <w:sz w:val="20"/>
      <w:szCs w:val="20"/>
    </w:rPr>
  </w:style>
  <w:style w:type="character" w:customStyle="1" w:styleId="FunotentextZchn">
    <w:name w:val="Fußnotentext Zchn"/>
    <w:link w:val="Funotentext"/>
    <w:uiPriority w:val="99"/>
    <w:semiHidden/>
    <w:rsid w:val="00AA4EFC"/>
    <w:rPr>
      <w:lang w:eastAsia="en-US"/>
    </w:rPr>
  </w:style>
  <w:style w:type="character" w:styleId="Funotenzeichen">
    <w:name w:val="footnote reference"/>
    <w:uiPriority w:val="99"/>
    <w:semiHidden/>
    <w:unhideWhenUsed/>
    <w:rsid w:val="00AA4EFC"/>
    <w:rPr>
      <w:vertAlign w:val="superscript"/>
    </w:rPr>
  </w:style>
  <w:style w:type="paragraph" w:styleId="Listenabsatz">
    <w:name w:val="List Paragraph"/>
    <w:basedOn w:val="Standard"/>
    <w:uiPriority w:val="34"/>
    <w:qFormat/>
    <w:rsid w:val="002170C8"/>
    <w:pPr>
      <w:ind w:left="708"/>
    </w:pPr>
  </w:style>
  <w:style w:type="paragraph" w:styleId="Verzeichnis1">
    <w:name w:val="toc 1"/>
    <w:basedOn w:val="Standard"/>
    <w:next w:val="Standard"/>
    <w:autoRedefine/>
    <w:uiPriority w:val="39"/>
    <w:rsid w:val="00984E12"/>
    <w:pPr>
      <w:tabs>
        <w:tab w:val="right" w:leader="dot" w:pos="9062"/>
      </w:tabs>
    </w:pPr>
    <w:rPr>
      <w:noProof/>
      <w:color w:val="000000"/>
    </w:rPr>
  </w:style>
  <w:style w:type="paragraph" w:styleId="Verzeichnis2">
    <w:name w:val="toc 2"/>
    <w:basedOn w:val="Standard"/>
    <w:next w:val="Standard"/>
    <w:autoRedefine/>
    <w:uiPriority w:val="39"/>
    <w:rsid w:val="008E0E3A"/>
    <w:pPr>
      <w:ind w:left="240"/>
    </w:pPr>
  </w:style>
  <w:style w:type="paragraph" w:styleId="Verzeichnis3">
    <w:name w:val="toc 3"/>
    <w:basedOn w:val="Standard"/>
    <w:next w:val="Standard"/>
    <w:autoRedefine/>
    <w:uiPriority w:val="39"/>
    <w:rsid w:val="008E0E3A"/>
    <w:pPr>
      <w:ind w:left="480"/>
    </w:pPr>
  </w:style>
  <w:style w:type="character" w:styleId="Hyperlink">
    <w:name w:val="Hyperlink"/>
    <w:uiPriority w:val="99"/>
    <w:rsid w:val="008E0E3A"/>
    <w:rPr>
      <w:color w:val="0000FF"/>
      <w:u w:val="single"/>
    </w:rPr>
  </w:style>
  <w:style w:type="paragraph" w:styleId="Fuzeile">
    <w:name w:val="footer"/>
    <w:basedOn w:val="Standard"/>
    <w:rsid w:val="00305316"/>
    <w:pPr>
      <w:tabs>
        <w:tab w:val="center" w:pos="4536"/>
        <w:tab w:val="right" w:pos="9072"/>
      </w:tabs>
    </w:pPr>
  </w:style>
  <w:style w:type="paragraph" w:styleId="Inhaltsverzeichnisberschrift">
    <w:name w:val="TOC Heading"/>
    <w:basedOn w:val="berschrift1"/>
    <w:next w:val="Standard"/>
    <w:uiPriority w:val="39"/>
    <w:unhideWhenUsed/>
    <w:qFormat/>
    <w:rsid w:val="00C410CF"/>
    <w:pPr>
      <w:keepLines/>
      <w:spacing w:after="0" w:line="259" w:lineRule="auto"/>
      <w:outlineLvl w:val="9"/>
    </w:pPr>
    <w:rPr>
      <w:rFonts w:ascii="Calibri Light" w:eastAsia="Times New Roman" w:hAnsi="Calibri Light" w:cs="Times New Roman"/>
      <w:b w:val="0"/>
      <w:bCs w:val="0"/>
      <w:color w:val="2E74B5"/>
      <w:kern w:val="0"/>
      <w:lang w:eastAsia="de-DE"/>
    </w:rPr>
  </w:style>
  <w:style w:type="paragraph" w:styleId="StandardWeb">
    <w:name w:val="Normal (Web)"/>
    <w:basedOn w:val="Standard"/>
    <w:uiPriority w:val="99"/>
    <w:unhideWhenUsed/>
    <w:rsid w:val="008D47D8"/>
    <w:pPr>
      <w:spacing w:before="100" w:beforeAutospacing="1" w:after="100" w:afterAutospacing="1"/>
    </w:pPr>
    <w:rPr>
      <w:rFonts w:eastAsia="Times New Roman"/>
      <w:lang w:eastAsia="de-DE"/>
    </w:rPr>
  </w:style>
  <w:style w:type="character" w:styleId="NichtaufgelsteErwhnung">
    <w:name w:val="Unresolved Mention"/>
    <w:uiPriority w:val="99"/>
    <w:semiHidden/>
    <w:unhideWhenUsed/>
    <w:rsid w:val="0079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23953">
      <w:bodyDiv w:val="1"/>
      <w:marLeft w:val="0"/>
      <w:marRight w:val="0"/>
      <w:marTop w:val="0"/>
      <w:marBottom w:val="0"/>
      <w:divBdr>
        <w:top w:val="none" w:sz="0" w:space="0" w:color="auto"/>
        <w:left w:val="none" w:sz="0" w:space="0" w:color="auto"/>
        <w:bottom w:val="none" w:sz="0" w:space="0" w:color="auto"/>
        <w:right w:val="none" w:sz="0" w:space="0" w:color="auto"/>
      </w:divBdr>
    </w:div>
    <w:div w:id="1129131217">
      <w:bodyDiv w:val="1"/>
      <w:marLeft w:val="0"/>
      <w:marRight w:val="0"/>
      <w:marTop w:val="0"/>
      <w:marBottom w:val="0"/>
      <w:divBdr>
        <w:top w:val="none" w:sz="0" w:space="0" w:color="auto"/>
        <w:left w:val="none" w:sz="0" w:space="0" w:color="auto"/>
        <w:bottom w:val="none" w:sz="0" w:space="0" w:color="auto"/>
        <w:right w:val="none" w:sz="0" w:space="0" w:color="auto"/>
      </w:divBdr>
      <w:divsChild>
        <w:div w:id="1787769281">
          <w:marLeft w:val="0"/>
          <w:marRight w:val="0"/>
          <w:marTop w:val="0"/>
          <w:marBottom w:val="5760"/>
          <w:divBdr>
            <w:top w:val="none" w:sz="0" w:space="0" w:color="auto"/>
            <w:left w:val="none" w:sz="0" w:space="0" w:color="auto"/>
            <w:bottom w:val="none" w:sz="0" w:space="0" w:color="auto"/>
            <w:right w:val="none" w:sz="0" w:space="0" w:color="auto"/>
          </w:divBdr>
          <w:divsChild>
            <w:div w:id="239949536">
              <w:marLeft w:val="0"/>
              <w:marRight w:val="0"/>
              <w:marTop w:val="0"/>
              <w:marBottom w:val="0"/>
              <w:divBdr>
                <w:top w:val="none" w:sz="0" w:space="0" w:color="auto"/>
                <w:left w:val="none" w:sz="0" w:space="0" w:color="auto"/>
                <w:bottom w:val="none" w:sz="0" w:space="0" w:color="auto"/>
                <w:right w:val="none" w:sz="0" w:space="0" w:color="auto"/>
              </w:divBdr>
              <w:divsChild>
                <w:div w:id="843518964">
                  <w:marLeft w:val="-225"/>
                  <w:marRight w:val="-225"/>
                  <w:marTop w:val="0"/>
                  <w:marBottom w:val="0"/>
                  <w:divBdr>
                    <w:top w:val="none" w:sz="0" w:space="0" w:color="auto"/>
                    <w:left w:val="none" w:sz="0" w:space="0" w:color="auto"/>
                    <w:bottom w:val="none" w:sz="0" w:space="0" w:color="auto"/>
                    <w:right w:val="none" w:sz="0" w:space="0" w:color="auto"/>
                  </w:divBdr>
                  <w:divsChild>
                    <w:div w:id="1003894212">
                      <w:marLeft w:val="0"/>
                      <w:marRight w:val="0"/>
                      <w:marTop w:val="0"/>
                      <w:marBottom w:val="0"/>
                      <w:divBdr>
                        <w:top w:val="none" w:sz="0" w:space="0" w:color="auto"/>
                        <w:left w:val="none" w:sz="0" w:space="0" w:color="auto"/>
                        <w:bottom w:val="none" w:sz="0" w:space="0" w:color="auto"/>
                        <w:right w:val="none" w:sz="0" w:space="0" w:color="auto"/>
                      </w:divBdr>
                      <w:divsChild>
                        <w:div w:id="93209640">
                          <w:marLeft w:val="0"/>
                          <w:marRight w:val="0"/>
                          <w:marTop w:val="0"/>
                          <w:marBottom w:val="0"/>
                          <w:divBdr>
                            <w:top w:val="none" w:sz="0" w:space="0" w:color="auto"/>
                            <w:left w:val="none" w:sz="0" w:space="0" w:color="auto"/>
                            <w:bottom w:val="none" w:sz="0" w:space="0" w:color="auto"/>
                            <w:right w:val="none" w:sz="0" w:space="0" w:color="auto"/>
                          </w:divBdr>
                          <w:divsChild>
                            <w:div w:id="354498300">
                              <w:marLeft w:val="-225"/>
                              <w:marRight w:val="-225"/>
                              <w:marTop w:val="0"/>
                              <w:marBottom w:val="0"/>
                              <w:divBdr>
                                <w:top w:val="none" w:sz="0" w:space="0" w:color="auto"/>
                                <w:left w:val="none" w:sz="0" w:space="0" w:color="auto"/>
                                <w:bottom w:val="none" w:sz="0" w:space="0" w:color="auto"/>
                                <w:right w:val="none" w:sz="0" w:space="0" w:color="auto"/>
                              </w:divBdr>
                              <w:divsChild>
                                <w:div w:id="1019625727">
                                  <w:marLeft w:val="0"/>
                                  <w:marRight w:val="0"/>
                                  <w:marTop w:val="0"/>
                                  <w:marBottom w:val="0"/>
                                  <w:divBdr>
                                    <w:top w:val="none" w:sz="0" w:space="0" w:color="auto"/>
                                    <w:left w:val="none" w:sz="0" w:space="0" w:color="auto"/>
                                    <w:bottom w:val="none" w:sz="0" w:space="0" w:color="auto"/>
                                    <w:right w:val="none" w:sz="0" w:space="0" w:color="auto"/>
                                  </w:divBdr>
                                  <w:divsChild>
                                    <w:div w:id="1059356319">
                                      <w:marLeft w:val="-225"/>
                                      <w:marRight w:val="-225"/>
                                      <w:marTop w:val="0"/>
                                      <w:marBottom w:val="0"/>
                                      <w:divBdr>
                                        <w:top w:val="none" w:sz="0" w:space="0" w:color="auto"/>
                                        <w:left w:val="none" w:sz="0" w:space="0" w:color="auto"/>
                                        <w:bottom w:val="none" w:sz="0" w:space="0" w:color="auto"/>
                                        <w:right w:val="none" w:sz="0" w:space="0" w:color="auto"/>
                                      </w:divBdr>
                                      <w:divsChild>
                                        <w:div w:id="669874363">
                                          <w:marLeft w:val="0"/>
                                          <w:marRight w:val="0"/>
                                          <w:marTop w:val="0"/>
                                          <w:marBottom w:val="0"/>
                                          <w:divBdr>
                                            <w:top w:val="none" w:sz="0" w:space="0" w:color="auto"/>
                                            <w:left w:val="none" w:sz="0" w:space="0" w:color="auto"/>
                                            <w:bottom w:val="none" w:sz="0" w:space="0" w:color="auto"/>
                                            <w:right w:val="none" w:sz="0" w:space="0" w:color="auto"/>
                                          </w:divBdr>
                                          <w:divsChild>
                                            <w:div w:id="201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1295">
                                      <w:marLeft w:val="-225"/>
                                      <w:marRight w:val="-225"/>
                                      <w:marTop w:val="0"/>
                                      <w:marBottom w:val="0"/>
                                      <w:divBdr>
                                        <w:top w:val="none" w:sz="0" w:space="0" w:color="auto"/>
                                        <w:left w:val="none" w:sz="0" w:space="0" w:color="auto"/>
                                        <w:bottom w:val="none" w:sz="0" w:space="0" w:color="auto"/>
                                        <w:right w:val="none" w:sz="0" w:space="0" w:color="auto"/>
                                      </w:divBdr>
                                      <w:divsChild>
                                        <w:div w:id="2125272599">
                                          <w:marLeft w:val="0"/>
                                          <w:marRight w:val="0"/>
                                          <w:marTop w:val="0"/>
                                          <w:marBottom w:val="0"/>
                                          <w:divBdr>
                                            <w:top w:val="none" w:sz="0" w:space="0" w:color="auto"/>
                                            <w:left w:val="none" w:sz="0" w:space="0" w:color="auto"/>
                                            <w:bottom w:val="none" w:sz="0" w:space="0" w:color="auto"/>
                                            <w:right w:val="none" w:sz="0" w:space="0" w:color="auto"/>
                                          </w:divBdr>
                                          <w:divsChild>
                                            <w:div w:id="12068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025144">
      <w:bodyDiv w:val="1"/>
      <w:marLeft w:val="0"/>
      <w:marRight w:val="0"/>
      <w:marTop w:val="0"/>
      <w:marBottom w:val="0"/>
      <w:divBdr>
        <w:top w:val="none" w:sz="0" w:space="0" w:color="auto"/>
        <w:left w:val="none" w:sz="0" w:space="0" w:color="auto"/>
        <w:bottom w:val="none" w:sz="0" w:space="0" w:color="auto"/>
        <w:right w:val="none" w:sz="0" w:space="0" w:color="auto"/>
      </w:divBdr>
    </w:div>
    <w:div w:id="1694768376">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7">
          <w:marLeft w:val="0"/>
          <w:marRight w:val="0"/>
          <w:marTop w:val="660"/>
          <w:marBottom w:val="0"/>
          <w:divBdr>
            <w:top w:val="none" w:sz="0" w:space="0" w:color="auto"/>
            <w:left w:val="none" w:sz="0" w:space="0" w:color="auto"/>
            <w:bottom w:val="none" w:sz="0" w:space="0" w:color="auto"/>
            <w:right w:val="none" w:sz="0" w:space="0" w:color="auto"/>
          </w:divBdr>
          <w:divsChild>
            <w:div w:id="857425644">
              <w:marLeft w:val="0"/>
              <w:marRight w:val="0"/>
              <w:marTop w:val="0"/>
              <w:marBottom w:val="0"/>
              <w:divBdr>
                <w:top w:val="none" w:sz="0" w:space="0" w:color="auto"/>
                <w:left w:val="none" w:sz="0" w:space="0" w:color="auto"/>
                <w:bottom w:val="none" w:sz="0" w:space="0" w:color="auto"/>
                <w:right w:val="none" w:sz="0" w:space="0" w:color="auto"/>
              </w:divBdr>
              <w:divsChild>
                <w:div w:id="1408527776">
                  <w:marLeft w:val="-150"/>
                  <w:marRight w:val="-150"/>
                  <w:marTop w:val="0"/>
                  <w:marBottom w:val="0"/>
                  <w:divBdr>
                    <w:top w:val="none" w:sz="0" w:space="0" w:color="auto"/>
                    <w:left w:val="none" w:sz="0" w:space="0" w:color="auto"/>
                    <w:bottom w:val="none" w:sz="0" w:space="0" w:color="auto"/>
                    <w:right w:val="none" w:sz="0" w:space="0" w:color="auto"/>
                  </w:divBdr>
                  <w:divsChild>
                    <w:div w:id="166360885">
                      <w:marLeft w:val="0"/>
                      <w:marRight w:val="0"/>
                      <w:marTop w:val="0"/>
                      <w:marBottom w:val="0"/>
                      <w:divBdr>
                        <w:top w:val="none" w:sz="0" w:space="0" w:color="auto"/>
                        <w:left w:val="none" w:sz="0" w:space="0" w:color="auto"/>
                        <w:bottom w:val="none" w:sz="0" w:space="0" w:color="auto"/>
                        <w:right w:val="none" w:sz="0" w:space="0" w:color="auto"/>
                      </w:divBdr>
                      <w:divsChild>
                        <w:div w:id="984089564">
                          <w:marLeft w:val="0"/>
                          <w:marRight w:val="0"/>
                          <w:marTop w:val="0"/>
                          <w:marBottom w:val="90"/>
                          <w:divBdr>
                            <w:top w:val="none" w:sz="0" w:space="0" w:color="auto"/>
                            <w:left w:val="none" w:sz="0" w:space="0" w:color="auto"/>
                            <w:bottom w:val="none" w:sz="0" w:space="0" w:color="auto"/>
                            <w:right w:val="none" w:sz="0" w:space="0" w:color="auto"/>
                          </w:divBdr>
                          <w:divsChild>
                            <w:div w:id="498809328">
                              <w:marLeft w:val="0"/>
                              <w:marRight w:val="0"/>
                              <w:marTop w:val="0"/>
                              <w:marBottom w:val="0"/>
                              <w:divBdr>
                                <w:top w:val="none" w:sz="0" w:space="0" w:color="auto"/>
                                <w:left w:val="none" w:sz="0" w:space="0" w:color="auto"/>
                                <w:bottom w:val="none" w:sz="0" w:space="0" w:color="auto"/>
                                <w:right w:val="none" w:sz="0" w:space="0" w:color="auto"/>
                              </w:divBdr>
                              <w:divsChild>
                                <w:div w:id="1556113816">
                                  <w:marLeft w:val="0"/>
                                  <w:marRight w:val="0"/>
                                  <w:marTop w:val="0"/>
                                  <w:marBottom w:val="0"/>
                                  <w:divBdr>
                                    <w:top w:val="none" w:sz="0" w:space="0" w:color="auto"/>
                                    <w:left w:val="none" w:sz="0" w:space="0" w:color="auto"/>
                                    <w:bottom w:val="none" w:sz="0" w:space="0" w:color="auto"/>
                                    <w:right w:val="none" w:sz="0" w:space="0" w:color="auto"/>
                                  </w:divBdr>
                                  <w:divsChild>
                                    <w:div w:id="1269504216">
                                      <w:marLeft w:val="0"/>
                                      <w:marRight w:val="0"/>
                                      <w:marTop w:val="0"/>
                                      <w:marBottom w:val="0"/>
                                      <w:divBdr>
                                        <w:top w:val="none" w:sz="0" w:space="0" w:color="auto"/>
                                        <w:left w:val="none" w:sz="0" w:space="0" w:color="auto"/>
                                        <w:bottom w:val="none" w:sz="0" w:space="0" w:color="auto"/>
                                        <w:right w:val="none" w:sz="0" w:space="0" w:color="auto"/>
                                      </w:divBdr>
                                    </w:div>
                                    <w:div w:id="1370181540">
                                      <w:marLeft w:val="0"/>
                                      <w:marRight w:val="0"/>
                                      <w:marTop w:val="0"/>
                                      <w:marBottom w:val="0"/>
                                      <w:divBdr>
                                        <w:top w:val="none" w:sz="0" w:space="0" w:color="auto"/>
                                        <w:left w:val="none" w:sz="0" w:space="0" w:color="auto"/>
                                        <w:bottom w:val="none" w:sz="0" w:space="0" w:color="auto"/>
                                        <w:right w:val="none" w:sz="0" w:space="0" w:color="auto"/>
                                      </w:divBdr>
                                      <w:divsChild>
                                        <w:div w:id="688488162">
                                          <w:marLeft w:val="0"/>
                                          <w:marRight w:val="0"/>
                                          <w:marTop w:val="0"/>
                                          <w:marBottom w:val="0"/>
                                          <w:divBdr>
                                            <w:top w:val="none" w:sz="0" w:space="0" w:color="auto"/>
                                            <w:left w:val="none" w:sz="0" w:space="0" w:color="auto"/>
                                            <w:bottom w:val="none" w:sz="0" w:space="0" w:color="auto"/>
                                            <w:right w:val="none" w:sz="0" w:space="0" w:color="auto"/>
                                          </w:divBdr>
                                        </w:div>
                                        <w:div w:id="971638022">
                                          <w:marLeft w:val="0"/>
                                          <w:marRight w:val="0"/>
                                          <w:marTop w:val="0"/>
                                          <w:marBottom w:val="0"/>
                                          <w:divBdr>
                                            <w:top w:val="none" w:sz="0" w:space="0" w:color="auto"/>
                                            <w:left w:val="none" w:sz="0" w:space="0" w:color="auto"/>
                                            <w:bottom w:val="none" w:sz="0" w:space="0" w:color="auto"/>
                                            <w:right w:val="none" w:sz="0" w:space="0" w:color="auto"/>
                                          </w:divBdr>
                                        </w:div>
                                        <w:div w:id="1347366958">
                                          <w:marLeft w:val="0"/>
                                          <w:marRight w:val="0"/>
                                          <w:marTop w:val="0"/>
                                          <w:marBottom w:val="0"/>
                                          <w:divBdr>
                                            <w:top w:val="none" w:sz="0" w:space="0" w:color="auto"/>
                                            <w:left w:val="none" w:sz="0" w:space="0" w:color="auto"/>
                                            <w:bottom w:val="none" w:sz="0" w:space="0" w:color="auto"/>
                                            <w:right w:val="none" w:sz="0" w:space="0" w:color="auto"/>
                                          </w:divBdr>
                                        </w:div>
                                        <w:div w:id="1644889623">
                                          <w:marLeft w:val="0"/>
                                          <w:marRight w:val="0"/>
                                          <w:marTop w:val="0"/>
                                          <w:marBottom w:val="0"/>
                                          <w:divBdr>
                                            <w:top w:val="none" w:sz="0" w:space="0" w:color="auto"/>
                                            <w:left w:val="none" w:sz="0" w:space="0" w:color="auto"/>
                                            <w:bottom w:val="none" w:sz="0" w:space="0" w:color="auto"/>
                                            <w:right w:val="none" w:sz="0" w:space="0" w:color="auto"/>
                                          </w:divBdr>
                                        </w:div>
                                        <w:div w:id="1932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0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ie-effizienz-expert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F116-04A6-4B48-8724-50E23166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8290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Richtlinie des Kirchenkreises Schleiz über die Vergabe von Mitteln des Baulastfonds</vt:lpstr>
    </vt:vector>
  </TitlesOfParts>
  <Company/>
  <LinksUpToDate>false</LinksUpToDate>
  <CharactersWithSpaces>9586</CharactersWithSpaces>
  <SharedDoc>false</SharedDoc>
  <HLinks>
    <vt:vector size="84" baseType="variant">
      <vt:variant>
        <vt:i4>1900601</vt:i4>
      </vt:variant>
      <vt:variant>
        <vt:i4>79</vt:i4>
      </vt:variant>
      <vt:variant>
        <vt:i4>0</vt:i4>
      </vt:variant>
      <vt:variant>
        <vt:i4>5</vt:i4>
      </vt:variant>
      <vt:variant>
        <vt:lpwstr/>
      </vt:variant>
      <vt:variant>
        <vt:lpwstr>_Toc469209474</vt:lpwstr>
      </vt:variant>
      <vt:variant>
        <vt:i4>1900601</vt:i4>
      </vt:variant>
      <vt:variant>
        <vt:i4>73</vt:i4>
      </vt:variant>
      <vt:variant>
        <vt:i4>0</vt:i4>
      </vt:variant>
      <vt:variant>
        <vt:i4>5</vt:i4>
      </vt:variant>
      <vt:variant>
        <vt:lpwstr/>
      </vt:variant>
      <vt:variant>
        <vt:lpwstr>_Toc469209473</vt:lpwstr>
      </vt:variant>
      <vt:variant>
        <vt:i4>1900601</vt:i4>
      </vt:variant>
      <vt:variant>
        <vt:i4>67</vt:i4>
      </vt:variant>
      <vt:variant>
        <vt:i4>0</vt:i4>
      </vt:variant>
      <vt:variant>
        <vt:i4>5</vt:i4>
      </vt:variant>
      <vt:variant>
        <vt:lpwstr/>
      </vt:variant>
      <vt:variant>
        <vt:lpwstr>_Toc469209472</vt:lpwstr>
      </vt:variant>
      <vt:variant>
        <vt:i4>1900601</vt:i4>
      </vt:variant>
      <vt:variant>
        <vt:i4>61</vt:i4>
      </vt:variant>
      <vt:variant>
        <vt:i4>0</vt:i4>
      </vt:variant>
      <vt:variant>
        <vt:i4>5</vt:i4>
      </vt:variant>
      <vt:variant>
        <vt:lpwstr/>
      </vt:variant>
      <vt:variant>
        <vt:lpwstr>_Toc469209471</vt:lpwstr>
      </vt:variant>
      <vt:variant>
        <vt:i4>1900601</vt:i4>
      </vt:variant>
      <vt:variant>
        <vt:i4>55</vt:i4>
      </vt:variant>
      <vt:variant>
        <vt:i4>0</vt:i4>
      </vt:variant>
      <vt:variant>
        <vt:i4>5</vt:i4>
      </vt:variant>
      <vt:variant>
        <vt:lpwstr/>
      </vt:variant>
      <vt:variant>
        <vt:lpwstr>_Toc469209470</vt:lpwstr>
      </vt:variant>
      <vt:variant>
        <vt:i4>1835065</vt:i4>
      </vt:variant>
      <vt:variant>
        <vt:i4>49</vt:i4>
      </vt:variant>
      <vt:variant>
        <vt:i4>0</vt:i4>
      </vt:variant>
      <vt:variant>
        <vt:i4>5</vt:i4>
      </vt:variant>
      <vt:variant>
        <vt:lpwstr/>
      </vt:variant>
      <vt:variant>
        <vt:lpwstr>_Toc469209469</vt:lpwstr>
      </vt:variant>
      <vt:variant>
        <vt:i4>1835065</vt:i4>
      </vt:variant>
      <vt:variant>
        <vt:i4>43</vt:i4>
      </vt:variant>
      <vt:variant>
        <vt:i4>0</vt:i4>
      </vt:variant>
      <vt:variant>
        <vt:i4>5</vt:i4>
      </vt:variant>
      <vt:variant>
        <vt:lpwstr/>
      </vt:variant>
      <vt:variant>
        <vt:lpwstr>_Toc469209468</vt:lpwstr>
      </vt:variant>
      <vt:variant>
        <vt:i4>1835065</vt:i4>
      </vt:variant>
      <vt:variant>
        <vt:i4>37</vt:i4>
      </vt:variant>
      <vt:variant>
        <vt:i4>0</vt:i4>
      </vt:variant>
      <vt:variant>
        <vt:i4>5</vt:i4>
      </vt:variant>
      <vt:variant>
        <vt:lpwstr/>
      </vt:variant>
      <vt:variant>
        <vt:lpwstr>_Toc469209467</vt:lpwstr>
      </vt:variant>
      <vt:variant>
        <vt:i4>1835065</vt:i4>
      </vt:variant>
      <vt:variant>
        <vt:i4>31</vt:i4>
      </vt:variant>
      <vt:variant>
        <vt:i4>0</vt:i4>
      </vt:variant>
      <vt:variant>
        <vt:i4>5</vt:i4>
      </vt:variant>
      <vt:variant>
        <vt:lpwstr/>
      </vt:variant>
      <vt:variant>
        <vt:lpwstr>_Toc469209466</vt:lpwstr>
      </vt:variant>
      <vt:variant>
        <vt:i4>1835065</vt:i4>
      </vt:variant>
      <vt:variant>
        <vt:i4>25</vt:i4>
      </vt:variant>
      <vt:variant>
        <vt:i4>0</vt:i4>
      </vt:variant>
      <vt:variant>
        <vt:i4>5</vt:i4>
      </vt:variant>
      <vt:variant>
        <vt:lpwstr/>
      </vt:variant>
      <vt:variant>
        <vt:lpwstr>_Toc469209465</vt:lpwstr>
      </vt:variant>
      <vt:variant>
        <vt:i4>1835065</vt:i4>
      </vt:variant>
      <vt:variant>
        <vt:i4>19</vt:i4>
      </vt:variant>
      <vt:variant>
        <vt:i4>0</vt:i4>
      </vt:variant>
      <vt:variant>
        <vt:i4>5</vt:i4>
      </vt:variant>
      <vt:variant>
        <vt:lpwstr/>
      </vt:variant>
      <vt:variant>
        <vt:lpwstr>_Toc469209464</vt:lpwstr>
      </vt:variant>
      <vt:variant>
        <vt:i4>1835065</vt:i4>
      </vt:variant>
      <vt:variant>
        <vt:i4>13</vt:i4>
      </vt:variant>
      <vt:variant>
        <vt:i4>0</vt:i4>
      </vt:variant>
      <vt:variant>
        <vt:i4>5</vt:i4>
      </vt:variant>
      <vt:variant>
        <vt:lpwstr/>
      </vt:variant>
      <vt:variant>
        <vt:lpwstr>_Toc469209463</vt:lpwstr>
      </vt:variant>
      <vt:variant>
        <vt:i4>1835065</vt:i4>
      </vt:variant>
      <vt:variant>
        <vt:i4>7</vt:i4>
      </vt:variant>
      <vt:variant>
        <vt:i4>0</vt:i4>
      </vt:variant>
      <vt:variant>
        <vt:i4>5</vt:i4>
      </vt:variant>
      <vt:variant>
        <vt:lpwstr/>
      </vt:variant>
      <vt:variant>
        <vt:lpwstr>_Toc469209462</vt:lpwstr>
      </vt:variant>
      <vt:variant>
        <vt:i4>1835065</vt:i4>
      </vt:variant>
      <vt:variant>
        <vt:i4>4</vt:i4>
      </vt:variant>
      <vt:variant>
        <vt:i4>0</vt:i4>
      </vt:variant>
      <vt:variant>
        <vt:i4>5</vt:i4>
      </vt:variant>
      <vt:variant>
        <vt:lpwstr/>
      </vt:variant>
      <vt:variant>
        <vt:lpwstr>_Toc469209461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Kirchenkreises Schleiz über die Vergabe von Mitteln des Baulastfonds</dc:title>
  <dc:subject/>
  <dc:creator>Dieter Fischer</dc:creator>
  <cp:keywords/>
  <dc:description/>
  <cp:lastModifiedBy>Dieter Fischer</cp:lastModifiedBy>
  <cp:revision>6</cp:revision>
  <dcterms:created xsi:type="dcterms:W3CDTF">2022-11-29T17:08:00Z</dcterms:created>
  <dcterms:modified xsi:type="dcterms:W3CDTF">2022-12-07T15:48:00Z</dcterms:modified>
</cp:coreProperties>
</file>